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3D074" w14:textId="77777777" w:rsidR="00D90436" w:rsidRDefault="00D90436" w:rsidP="00D90436">
      <w:pPr>
        <w:rPr>
          <w:b/>
          <w:bCs/>
          <w:sz w:val="28"/>
          <w:szCs w:val="28"/>
        </w:rPr>
      </w:pPr>
    </w:p>
    <w:p w14:paraId="45BB726B" w14:textId="77777777" w:rsidR="004336ED" w:rsidRPr="00FE3D23" w:rsidRDefault="004336ED" w:rsidP="00516A24">
      <w:pPr>
        <w:jc w:val="right"/>
        <w:rPr>
          <w:sz w:val="18"/>
          <w:szCs w:val="18"/>
        </w:rPr>
      </w:pPr>
      <w:r>
        <w:rPr>
          <w:noProof/>
          <w:sz w:val="18"/>
          <w:szCs w:val="18"/>
        </w:rPr>
        <w:drawing>
          <wp:anchor distT="0" distB="0" distL="114300" distR="114300" simplePos="0" relativeHeight="251659264" behindDoc="0" locked="0" layoutInCell="1" allowOverlap="1" wp14:anchorId="4DA01A29" wp14:editId="121871DC">
            <wp:simplePos x="0" y="0"/>
            <wp:positionH relativeFrom="column">
              <wp:posOffset>41059</wp:posOffset>
            </wp:positionH>
            <wp:positionV relativeFrom="paragraph">
              <wp:posOffset>41</wp:posOffset>
            </wp:positionV>
            <wp:extent cx="2185670" cy="524510"/>
            <wp:effectExtent l="0" t="0" r="0" b="0"/>
            <wp:wrapSquare wrapText="bothSides"/>
            <wp:docPr id="5671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352" name="Picture 56717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670" cy="524510"/>
                    </a:xfrm>
                    <a:prstGeom prst="rect">
                      <a:avLst/>
                    </a:prstGeom>
                  </pic:spPr>
                </pic:pic>
              </a:graphicData>
            </a:graphic>
            <wp14:sizeRelH relativeFrom="page">
              <wp14:pctWidth>0</wp14:pctWidth>
            </wp14:sizeRelH>
            <wp14:sizeRelV relativeFrom="page">
              <wp14:pctHeight>0</wp14:pctHeight>
            </wp14:sizeRelV>
          </wp:anchor>
        </w:drawing>
      </w:r>
      <w:r w:rsidRPr="00FE3D23">
        <w:rPr>
          <w:sz w:val="18"/>
          <w:szCs w:val="18"/>
        </w:rPr>
        <w:t>TSXV: SGN</w:t>
      </w:r>
    </w:p>
    <w:p w14:paraId="43213A94" w14:textId="77777777" w:rsidR="004336ED" w:rsidRDefault="004336ED" w:rsidP="00516A24">
      <w:pPr>
        <w:jc w:val="right"/>
        <w:rPr>
          <w:sz w:val="18"/>
          <w:szCs w:val="18"/>
        </w:rPr>
      </w:pPr>
      <w:r>
        <w:rPr>
          <w:sz w:val="18"/>
          <w:szCs w:val="18"/>
        </w:rPr>
        <w:t>#750-1095 W. Pender St.</w:t>
      </w:r>
    </w:p>
    <w:p w14:paraId="6CD11315" w14:textId="77777777" w:rsidR="004336ED" w:rsidRPr="00FE3D23" w:rsidRDefault="004336ED" w:rsidP="00516A24">
      <w:pPr>
        <w:jc w:val="right"/>
        <w:rPr>
          <w:sz w:val="18"/>
          <w:szCs w:val="18"/>
        </w:rPr>
      </w:pPr>
      <w:r>
        <w:rPr>
          <w:sz w:val="18"/>
          <w:szCs w:val="18"/>
        </w:rPr>
        <w:t>Vancouver, BC V6E2M6</w:t>
      </w:r>
    </w:p>
    <w:p w14:paraId="2BD60C3C" w14:textId="77777777" w:rsidR="004336ED" w:rsidRPr="005D4F46" w:rsidRDefault="004336ED" w:rsidP="00516A24">
      <w:pPr>
        <w:jc w:val="right"/>
        <w:rPr>
          <w:sz w:val="18"/>
          <w:szCs w:val="18"/>
        </w:rPr>
      </w:pPr>
      <w:r w:rsidRPr="00FE3D23">
        <w:rPr>
          <w:color w:val="1155CC"/>
          <w:sz w:val="18"/>
          <w:szCs w:val="18"/>
          <w:u w:val="single"/>
        </w:rPr>
        <w:t>WWW.SCORPIOGOLD.COM</w:t>
      </w:r>
    </w:p>
    <w:p w14:paraId="0115D2E4" w14:textId="6E1F66E6" w:rsidR="00D90436" w:rsidRDefault="00D90436" w:rsidP="00255D83">
      <w:pPr>
        <w:jc w:val="center"/>
        <w:rPr>
          <w:b/>
          <w:bCs/>
          <w:sz w:val="28"/>
          <w:szCs w:val="28"/>
        </w:rPr>
      </w:pPr>
    </w:p>
    <w:p w14:paraId="0883F16C" w14:textId="77777777" w:rsidR="00D90436" w:rsidRDefault="00D90436" w:rsidP="00255D83">
      <w:pPr>
        <w:jc w:val="center"/>
        <w:rPr>
          <w:b/>
          <w:bCs/>
          <w:sz w:val="28"/>
          <w:szCs w:val="28"/>
        </w:rPr>
      </w:pPr>
    </w:p>
    <w:p w14:paraId="2A4A547E" w14:textId="26744B29" w:rsidR="00AF4C09" w:rsidRPr="00B13E20" w:rsidRDefault="00AF4C09" w:rsidP="00AF4C09">
      <w:pPr>
        <w:spacing w:line="240" w:lineRule="auto"/>
        <w:jc w:val="center"/>
        <w:rPr>
          <w:b/>
          <w:bCs/>
          <w:sz w:val="28"/>
          <w:szCs w:val="28"/>
        </w:rPr>
      </w:pPr>
      <w:r w:rsidRPr="00B13E20">
        <w:rPr>
          <w:b/>
          <w:bCs/>
          <w:sz w:val="28"/>
          <w:szCs w:val="28"/>
        </w:rPr>
        <w:t xml:space="preserve">SCORPIO GOLD DRILLS </w:t>
      </w:r>
      <w:r w:rsidR="00684B13">
        <w:rPr>
          <w:b/>
          <w:bCs/>
          <w:sz w:val="28"/>
          <w:szCs w:val="28"/>
        </w:rPr>
        <w:t>24.67</w:t>
      </w:r>
      <w:r w:rsidR="00CA47AD" w:rsidRPr="00B13E20">
        <w:rPr>
          <w:b/>
          <w:bCs/>
          <w:sz w:val="28"/>
          <w:szCs w:val="28"/>
        </w:rPr>
        <w:t xml:space="preserve"> METRES GRADING 1.</w:t>
      </w:r>
      <w:r w:rsidR="00684B13">
        <w:rPr>
          <w:b/>
          <w:bCs/>
          <w:sz w:val="28"/>
          <w:szCs w:val="28"/>
        </w:rPr>
        <w:t>85</w:t>
      </w:r>
      <w:r w:rsidR="00D026AB">
        <w:rPr>
          <w:b/>
          <w:bCs/>
          <w:sz w:val="28"/>
          <w:szCs w:val="28"/>
        </w:rPr>
        <w:t xml:space="preserve"> </w:t>
      </w:r>
      <w:r w:rsidR="000E4E71">
        <w:rPr>
          <w:b/>
          <w:bCs/>
          <w:sz w:val="28"/>
          <w:szCs w:val="28"/>
        </w:rPr>
        <w:t xml:space="preserve">G/T </w:t>
      </w:r>
      <w:r w:rsidRPr="00B13E20">
        <w:rPr>
          <w:b/>
          <w:bCs/>
          <w:sz w:val="28"/>
          <w:szCs w:val="28"/>
        </w:rPr>
        <w:t>GOLD</w:t>
      </w:r>
      <w:r w:rsidR="00930ED0">
        <w:rPr>
          <w:b/>
          <w:bCs/>
          <w:sz w:val="28"/>
          <w:szCs w:val="28"/>
        </w:rPr>
        <w:t>, FROM 98.76 M</w:t>
      </w:r>
      <w:r w:rsidR="004F7F76">
        <w:rPr>
          <w:b/>
          <w:bCs/>
          <w:sz w:val="28"/>
          <w:szCs w:val="28"/>
        </w:rPr>
        <w:t>ETRES,</w:t>
      </w:r>
      <w:r w:rsidRPr="00B13E20">
        <w:rPr>
          <w:b/>
          <w:bCs/>
          <w:sz w:val="28"/>
          <w:szCs w:val="28"/>
        </w:rPr>
        <w:t xml:space="preserve"> </w:t>
      </w:r>
      <w:r w:rsidR="001B5205" w:rsidRPr="00B13E20">
        <w:rPr>
          <w:b/>
          <w:bCs/>
          <w:sz w:val="28"/>
          <w:szCs w:val="28"/>
        </w:rPr>
        <w:t xml:space="preserve">IN NEW </w:t>
      </w:r>
      <w:r w:rsidR="00B13E20" w:rsidRPr="00B13E20">
        <w:rPr>
          <w:b/>
          <w:bCs/>
          <w:sz w:val="28"/>
          <w:szCs w:val="28"/>
        </w:rPr>
        <w:t xml:space="preserve">ZONE OF MINERALIZATION </w:t>
      </w:r>
      <w:r w:rsidRPr="00B13E20">
        <w:rPr>
          <w:b/>
          <w:bCs/>
          <w:sz w:val="28"/>
          <w:szCs w:val="28"/>
        </w:rPr>
        <w:t>AT THE MANHATTAN DISTRICT, NEVADA</w:t>
      </w:r>
    </w:p>
    <w:p w14:paraId="0098205F" w14:textId="77777777" w:rsidR="00AF4C09" w:rsidRPr="002833F3" w:rsidRDefault="00AF4C09" w:rsidP="00AF4C09">
      <w:pPr>
        <w:spacing w:line="240" w:lineRule="auto"/>
        <w:rPr>
          <w:highlight w:val="yellow"/>
        </w:rPr>
      </w:pPr>
    </w:p>
    <w:p w14:paraId="671E91A2" w14:textId="77777777" w:rsidR="00AF4C09" w:rsidRPr="00B9514A" w:rsidRDefault="00AF4C09" w:rsidP="00AF4C09">
      <w:pPr>
        <w:spacing w:line="240" w:lineRule="auto"/>
        <w:jc w:val="both"/>
        <w:rPr>
          <w:b/>
          <w:bCs/>
        </w:rPr>
      </w:pPr>
      <w:r w:rsidRPr="00B9514A">
        <w:rPr>
          <w:b/>
          <w:bCs/>
        </w:rPr>
        <w:t>Highlights</w:t>
      </w:r>
    </w:p>
    <w:p w14:paraId="7318C898" w14:textId="0C87F700" w:rsidR="003E65FB" w:rsidRDefault="00690134" w:rsidP="00684B13">
      <w:pPr>
        <w:pStyle w:val="ListParagraph"/>
        <w:numPr>
          <w:ilvl w:val="0"/>
          <w:numId w:val="7"/>
        </w:numPr>
        <w:spacing w:line="240" w:lineRule="auto"/>
        <w:jc w:val="both"/>
      </w:pPr>
      <w:r>
        <w:t xml:space="preserve">Hole 26MN-026 returned </w:t>
      </w:r>
      <w:r w:rsidR="00474BC3">
        <w:rPr>
          <w:b/>
          <w:bCs/>
        </w:rPr>
        <w:t>1.85 g/t</w:t>
      </w:r>
      <w:r w:rsidR="002062F1">
        <w:rPr>
          <w:b/>
          <w:bCs/>
        </w:rPr>
        <w:t xml:space="preserve"> gold </w:t>
      </w:r>
      <w:r w:rsidR="00EB1CE4">
        <w:rPr>
          <w:b/>
          <w:bCs/>
        </w:rPr>
        <w:t>over 24</w:t>
      </w:r>
      <w:r w:rsidR="00EA077B">
        <w:rPr>
          <w:b/>
          <w:bCs/>
        </w:rPr>
        <w:t>.67 metres</w:t>
      </w:r>
      <w:r w:rsidR="00081222">
        <w:rPr>
          <w:b/>
          <w:bCs/>
        </w:rPr>
        <w:t xml:space="preserve"> </w:t>
      </w:r>
      <w:r w:rsidR="00081222">
        <w:t xml:space="preserve">from </w:t>
      </w:r>
      <w:r w:rsidR="00B771F3">
        <w:t>98.76 m</w:t>
      </w:r>
    </w:p>
    <w:p w14:paraId="35F18894" w14:textId="3900AF6A" w:rsidR="00AF4C09" w:rsidRPr="00B9514A" w:rsidRDefault="00AF4C09" w:rsidP="00B9514A">
      <w:pPr>
        <w:pStyle w:val="ListParagraph"/>
        <w:numPr>
          <w:ilvl w:val="0"/>
          <w:numId w:val="7"/>
        </w:numPr>
        <w:spacing w:line="240" w:lineRule="auto"/>
        <w:jc w:val="both"/>
      </w:pPr>
      <w:r w:rsidRPr="00B9514A">
        <w:t>Hole 25MN-0</w:t>
      </w:r>
      <w:r w:rsidR="00547C8D" w:rsidRPr="00B9514A">
        <w:t>21</w:t>
      </w:r>
      <w:r w:rsidRPr="00B9514A">
        <w:t xml:space="preserve"> returned</w:t>
      </w:r>
      <w:r w:rsidR="00B9514A" w:rsidRPr="00B9514A">
        <w:t xml:space="preserve"> </w:t>
      </w:r>
      <w:r w:rsidR="00547C8D" w:rsidRPr="00B9514A">
        <w:rPr>
          <w:b/>
          <w:bCs/>
        </w:rPr>
        <w:t>1.</w:t>
      </w:r>
      <w:r w:rsidR="00854EF0">
        <w:rPr>
          <w:b/>
          <w:bCs/>
        </w:rPr>
        <w:t>52</w:t>
      </w:r>
      <w:r w:rsidRPr="00B9514A">
        <w:rPr>
          <w:b/>
          <w:bCs/>
        </w:rPr>
        <w:t xml:space="preserve"> </w:t>
      </w:r>
      <w:r w:rsidR="00B9514A" w:rsidRPr="00B9514A">
        <w:rPr>
          <w:b/>
          <w:bCs/>
        </w:rPr>
        <w:t xml:space="preserve">g/t </w:t>
      </w:r>
      <w:r w:rsidR="00CA5B19">
        <w:rPr>
          <w:b/>
          <w:bCs/>
        </w:rPr>
        <w:t>gold</w:t>
      </w:r>
      <w:r w:rsidRPr="00B9514A">
        <w:rPr>
          <w:b/>
          <w:bCs/>
        </w:rPr>
        <w:t xml:space="preserve"> over </w:t>
      </w:r>
      <w:r w:rsidR="00854EF0">
        <w:rPr>
          <w:b/>
          <w:bCs/>
        </w:rPr>
        <w:t>18.14</w:t>
      </w:r>
      <w:r w:rsidRPr="00B9514A">
        <w:rPr>
          <w:b/>
          <w:bCs/>
        </w:rPr>
        <w:t xml:space="preserve"> </w:t>
      </w:r>
      <w:r w:rsidR="00B9514A" w:rsidRPr="00B9514A">
        <w:rPr>
          <w:b/>
          <w:bCs/>
        </w:rPr>
        <w:t>m</w:t>
      </w:r>
      <w:r w:rsidR="00CA5B19">
        <w:rPr>
          <w:b/>
          <w:bCs/>
        </w:rPr>
        <w:t>etres</w:t>
      </w:r>
      <w:r w:rsidR="00226EEE">
        <w:t xml:space="preserve"> from </w:t>
      </w:r>
      <w:r w:rsidR="00602F03">
        <w:t>176.</w:t>
      </w:r>
      <w:r w:rsidR="00CD39B5">
        <w:t>78 m</w:t>
      </w:r>
    </w:p>
    <w:p w14:paraId="08852755" w14:textId="6A851F3D" w:rsidR="005D3875" w:rsidRPr="00B9514A" w:rsidRDefault="00B9514A" w:rsidP="005D3875">
      <w:pPr>
        <w:pStyle w:val="ListParagraph"/>
        <w:numPr>
          <w:ilvl w:val="0"/>
          <w:numId w:val="7"/>
        </w:numPr>
        <w:spacing w:line="240" w:lineRule="auto"/>
        <w:jc w:val="both"/>
      </w:pPr>
      <w:r w:rsidRPr="00B9514A">
        <w:t xml:space="preserve">Hole 25MN-020 returned </w:t>
      </w:r>
      <w:r w:rsidRPr="00B9514A">
        <w:rPr>
          <w:b/>
          <w:bCs/>
        </w:rPr>
        <w:t xml:space="preserve">0.94 g/t </w:t>
      </w:r>
      <w:r w:rsidR="00CA5B19">
        <w:rPr>
          <w:b/>
          <w:bCs/>
        </w:rPr>
        <w:t>gold</w:t>
      </w:r>
      <w:r w:rsidRPr="00B9514A">
        <w:rPr>
          <w:b/>
          <w:bCs/>
        </w:rPr>
        <w:t xml:space="preserve"> over 36.97 </w:t>
      </w:r>
      <w:r w:rsidR="00CA5B19" w:rsidRPr="00B9514A">
        <w:rPr>
          <w:b/>
          <w:bCs/>
        </w:rPr>
        <w:t>m</w:t>
      </w:r>
      <w:r w:rsidR="00CA5B19">
        <w:rPr>
          <w:b/>
          <w:bCs/>
        </w:rPr>
        <w:t>etres</w:t>
      </w:r>
      <w:r w:rsidR="006B6D7C">
        <w:t xml:space="preserve"> from 162.95 </w:t>
      </w:r>
      <w:r w:rsidR="00BC39DF">
        <w:t>m</w:t>
      </w:r>
    </w:p>
    <w:p w14:paraId="4C95181B" w14:textId="09374A52" w:rsidR="00B9514A" w:rsidRPr="00E713D7" w:rsidRDefault="00B9514A" w:rsidP="00E713D7">
      <w:pPr>
        <w:pStyle w:val="ListParagraph"/>
        <w:numPr>
          <w:ilvl w:val="0"/>
          <w:numId w:val="7"/>
        </w:numPr>
        <w:spacing w:line="240" w:lineRule="auto"/>
        <w:jc w:val="both"/>
      </w:pPr>
      <w:r w:rsidRPr="00B9514A">
        <w:t xml:space="preserve">Hole 25MN-022 returned </w:t>
      </w:r>
      <w:r w:rsidRPr="00B9514A">
        <w:rPr>
          <w:b/>
          <w:bCs/>
        </w:rPr>
        <w:t xml:space="preserve">21.82 g/t </w:t>
      </w:r>
      <w:r w:rsidR="00CA5B19">
        <w:rPr>
          <w:b/>
          <w:bCs/>
        </w:rPr>
        <w:t>gold</w:t>
      </w:r>
      <w:r w:rsidRPr="00B9514A">
        <w:rPr>
          <w:b/>
          <w:bCs/>
        </w:rPr>
        <w:t xml:space="preserve"> over 3.23 </w:t>
      </w:r>
      <w:r w:rsidR="00CA5B19" w:rsidRPr="00B9514A">
        <w:rPr>
          <w:b/>
          <w:bCs/>
        </w:rPr>
        <w:t>m</w:t>
      </w:r>
      <w:r w:rsidR="00CA5B19">
        <w:rPr>
          <w:b/>
          <w:bCs/>
        </w:rPr>
        <w:t>etres</w:t>
      </w:r>
      <w:r w:rsidR="001F3FA8">
        <w:t xml:space="preserve"> from</w:t>
      </w:r>
      <w:r w:rsidR="00BC39DF">
        <w:rPr>
          <w:b/>
          <w:bCs/>
        </w:rPr>
        <w:t xml:space="preserve"> </w:t>
      </w:r>
      <w:r w:rsidR="001F3FA8" w:rsidRPr="00BC09A0">
        <w:t>168.86 m</w:t>
      </w:r>
      <w:r w:rsidR="00BC39DF">
        <w:t xml:space="preserve"> </w:t>
      </w:r>
      <w:r w:rsidR="00CA5B19">
        <w:t xml:space="preserve">incl. </w:t>
      </w:r>
      <w:r w:rsidR="00407CFA">
        <w:t>0.43</w:t>
      </w:r>
      <w:r w:rsidR="00CA5B19">
        <w:t xml:space="preserve"> m grading 159.94 g/t gold reduced to </w:t>
      </w:r>
      <w:r w:rsidRPr="00B9514A">
        <w:t xml:space="preserve">9.95 g/t gold </w:t>
      </w:r>
      <w:r w:rsidR="00CA5B19">
        <w:t xml:space="preserve">applying a </w:t>
      </w:r>
      <w:r w:rsidRPr="00B9514A">
        <w:t xml:space="preserve">70 g/t </w:t>
      </w:r>
      <w:r w:rsidR="00CA5B19">
        <w:t>gold</w:t>
      </w:r>
      <w:r w:rsidRPr="00B9514A">
        <w:t xml:space="preserve"> </w:t>
      </w:r>
      <w:r w:rsidRPr="00CA5B19">
        <w:t>top cut</w:t>
      </w:r>
    </w:p>
    <w:p w14:paraId="12C0BD32" w14:textId="77777777" w:rsidR="00AF4C09" w:rsidRDefault="00AF4C09" w:rsidP="00AF4C09">
      <w:pPr>
        <w:spacing w:line="240" w:lineRule="auto"/>
        <w:jc w:val="both"/>
        <w:rPr>
          <w:b/>
          <w:bCs/>
        </w:rPr>
      </w:pPr>
    </w:p>
    <w:p w14:paraId="2169C70F" w14:textId="40926E77" w:rsidR="00AF4C09" w:rsidRDefault="002833F3" w:rsidP="00AF4C09">
      <w:pPr>
        <w:spacing w:line="240" w:lineRule="auto"/>
        <w:jc w:val="both"/>
      </w:pPr>
      <w:r>
        <w:rPr>
          <w:b/>
          <w:bCs/>
        </w:rPr>
        <w:t>November</w:t>
      </w:r>
      <w:r w:rsidR="00AF4C09">
        <w:rPr>
          <w:b/>
          <w:bCs/>
        </w:rPr>
        <w:t xml:space="preserve"> </w:t>
      </w:r>
      <w:r w:rsidR="00285679">
        <w:rPr>
          <w:b/>
          <w:bCs/>
        </w:rPr>
        <w:t>2</w:t>
      </w:r>
      <w:r w:rsidR="007A3AF5">
        <w:rPr>
          <w:b/>
          <w:bCs/>
        </w:rPr>
        <w:t>4</w:t>
      </w:r>
      <w:r w:rsidR="00285679">
        <w:rPr>
          <w:b/>
          <w:bCs/>
        </w:rPr>
        <w:t>,</w:t>
      </w:r>
      <w:r w:rsidR="00AF4C09">
        <w:rPr>
          <w:b/>
          <w:bCs/>
        </w:rPr>
        <w:t xml:space="preserve"> </w:t>
      </w:r>
      <w:r w:rsidR="00AF4C09" w:rsidRPr="00E3104E">
        <w:rPr>
          <w:b/>
          <w:bCs/>
        </w:rPr>
        <w:t xml:space="preserve">2025 - Vancouver, British Columbia – Scorpio Gold </w:t>
      </w:r>
      <w:r w:rsidR="00C14195">
        <w:rPr>
          <w:b/>
          <w:bCs/>
        </w:rPr>
        <w:t>Corporation</w:t>
      </w:r>
      <w:r w:rsidR="00AF4C09" w:rsidRPr="00E3104E">
        <w:t xml:space="preserve"> </w:t>
      </w:r>
      <w:r w:rsidR="00AF4C09" w:rsidRPr="00E3104E">
        <w:rPr>
          <w:b/>
          <w:bCs/>
        </w:rPr>
        <w:t>(TSX-V: SGN, OTCQB: SRCRF, FSE: RY9)</w:t>
      </w:r>
      <w:r w:rsidR="00AF4C09" w:rsidRPr="00E3104E">
        <w:t xml:space="preserve"> (“</w:t>
      </w:r>
      <w:r w:rsidR="00AF4C09" w:rsidRPr="00E3104E">
        <w:rPr>
          <w:b/>
          <w:bCs/>
        </w:rPr>
        <w:t>Scorpio Gold</w:t>
      </w:r>
      <w:r w:rsidR="00AF4C09" w:rsidRPr="00E3104E">
        <w:t>”, or the “</w:t>
      </w:r>
      <w:r w:rsidR="00AF4C09" w:rsidRPr="00E3104E">
        <w:rPr>
          <w:b/>
          <w:bCs/>
        </w:rPr>
        <w:t>Company</w:t>
      </w:r>
      <w:r w:rsidR="00AF4C09" w:rsidRPr="00E3104E">
        <w:t xml:space="preserve">”) is pleased to announce </w:t>
      </w:r>
      <w:r w:rsidRPr="00E3104E">
        <w:t xml:space="preserve">results from </w:t>
      </w:r>
      <w:r w:rsidR="00E3104E" w:rsidRPr="00E3104E">
        <w:t>seven holes from its 2025 drilling program at the Manhattan District Project (“</w:t>
      </w:r>
      <w:r w:rsidR="00E3104E" w:rsidRPr="00E3104E">
        <w:rPr>
          <w:b/>
          <w:bCs/>
        </w:rPr>
        <w:t>Manhattan</w:t>
      </w:r>
      <w:r w:rsidR="00E3104E" w:rsidRPr="00E3104E">
        <w:t>”)</w:t>
      </w:r>
      <w:r w:rsidR="00FF69BF">
        <w:t xml:space="preserve"> located in</w:t>
      </w:r>
      <w:r w:rsidR="00E3104E" w:rsidRPr="00E3104E">
        <w:t xml:space="preserve"> Nevada, USA</w:t>
      </w:r>
      <w:r w:rsidR="00FF69BF">
        <w:t>, namely,</w:t>
      </w:r>
      <w:r w:rsidR="00CA5B19" w:rsidRPr="00E3104E">
        <w:t xml:space="preserve">: </w:t>
      </w:r>
      <w:r w:rsidR="00C14195">
        <w:t xml:space="preserve">(i) </w:t>
      </w:r>
      <w:r w:rsidR="00CA5B19" w:rsidRPr="00E3104E">
        <w:t xml:space="preserve">the final </w:t>
      </w:r>
      <w:r w:rsidR="00E3104E" w:rsidRPr="00E3104E">
        <w:t xml:space="preserve">three </w:t>
      </w:r>
      <w:r w:rsidR="00FF69BF">
        <w:t xml:space="preserve">holes </w:t>
      </w:r>
      <w:r w:rsidR="00E3104E" w:rsidRPr="00E3104E">
        <w:t xml:space="preserve">from the </w:t>
      </w:r>
      <w:r w:rsidR="00AF4C09" w:rsidRPr="00E3104E">
        <w:t>Phase One</w:t>
      </w:r>
      <w:r w:rsidR="00E3104E" w:rsidRPr="00E3104E">
        <w:t xml:space="preserve"> program (25MN-020, 25MN-021 and 25MN-022) and</w:t>
      </w:r>
      <w:r w:rsidR="00FF69BF">
        <w:t xml:space="preserve"> (ii)</w:t>
      </w:r>
      <w:r w:rsidRPr="00E3104E">
        <w:t xml:space="preserve"> the initial </w:t>
      </w:r>
      <w:r w:rsidR="00E3104E" w:rsidRPr="00E3104E">
        <w:t xml:space="preserve">four </w:t>
      </w:r>
      <w:r w:rsidR="00FF69BF">
        <w:t xml:space="preserve">holes </w:t>
      </w:r>
      <w:r w:rsidR="00E3104E" w:rsidRPr="00E3104E">
        <w:t>from the Phase Two program (25MN-023, 25MN-024, 25MN-025 and 25MN-026)</w:t>
      </w:r>
      <w:r w:rsidR="00AF4C09" w:rsidRPr="00E3104E">
        <w:t>.</w:t>
      </w:r>
      <w:r w:rsidR="00E3104E" w:rsidRPr="00E3104E">
        <w:t xml:space="preserve"> </w:t>
      </w:r>
      <w:r w:rsidR="00AF4C09" w:rsidRPr="00E3104E">
        <w:t>The results from holes 25MN-0</w:t>
      </w:r>
      <w:r w:rsidR="00E3104E" w:rsidRPr="00E3104E">
        <w:t>20</w:t>
      </w:r>
      <w:r w:rsidR="00AF4C09" w:rsidRPr="00E3104E">
        <w:t xml:space="preserve"> </w:t>
      </w:r>
      <w:r w:rsidR="00E3104E" w:rsidRPr="00E3104E">
        <w:t>through</w:t>
      </w:r>
      <w:r w:rsidR="00AF4C09" w:rsidRPr="00E3104E">
        <w:t xml:space="preserve"> 25MN-0</w:t>
      </w:r>
      <w:r w:rsidR="00E3104E" w:rsidRPr="00E3104E">
        <w:t>26</w:t>
      </w:r>
      <w:r w:rsidR="00AF4C09" w:rsidRPr="00E3104E">
        <w:t xml:space="preserve"> </w:t>
      </w:r>
      <w:r w:rsidR="00E3104E" w:rsidRPr="00E3104E">
        <w:t>are tabulated in Table 1 and discussed below</w:t>
      </w:r>
      <w:r w:rsidR="006B54E4">
        <w:t xml:space="preserve">. </w:t>
      </w:r>
      <w:r w:rsidR="00C4796B">
        <w:t>Scorpio Gold has reported assays on 16 drillholes totalling 5,341 m</w:t>
      </w:r>
      <w:r w:rsidR="006B54E4">
        <w:t xml:space="preserve"> </w:t>
      </w:r>
      <w:r w:rsidR="00621167">
        <w:t>in 2025</w:t>
      </w:r>
      <w:r w:rsidR="006B54E4">
        <w:t xml:space="preserve">. </w:t>
      </w:r>
    </w:p>
    <w:p w14:paraId="70E3AE25" w14:textId="5C0EF580" w:rsidR="00EA452E" w:rsidRPr="00102060" w:rsidRDefault="00EA452E" w:rsidP="00102060">
      <w:pPr>
        <w:spacing w:before="100" w:beforeAutospacing="1" w:after="100" w:afterAutospacing="1" w:line="240" w:lineRule="auto"/>
        <w:jc w:val="both"/>
        <w:rPr>
          <w:rStyle w:val="s1"/>
          <w:rFonts w:eastAsiaTheme="minorEastAsia"/>
          <w:b/>
          <w:bCs/>
        </w:rPr>
      </w:pPr>
      <w:r w:rsidRPr="00102060">
        <w:rPr>
          <w:rStyle w:val="s1"/>
          <w:rFonts w:eastAsiaTheme="minorEastAsia"/>
          <w:b/>
          <w:bCs/>
        </w:rPr>
        <w:t xml:space="preserve">“The results from this latest set of drill holes continue to reinforce what our team has believed from the outset: Manhattan </w:t>
      </w:r>
      <w:r w:rsidRPr="00102060">
        <w:rPr>
          <w:rStyle w:val="s1"/>
          <w:rFonts w:eastAsiaTheme="minorEastAsia"/>
          <w:b/>
          <w:bCs/>
          <w:lang w:eastAsia="en-US"/>
        </w:rPr>
        <w:t>is a district-scale opportunity with multi-</w:t>
      </w:r>
      <w:proofErr w:type="gramStart"/>
      <w:r w:rsidRPr="00102060">
        <w:rPr>
          <w:rStyle w:val="s1"/>
          <w:rFonts w:eastAsiaTheme="minorEastAsia"/>
          <w:b/>
          <w:bCs/>
          <w:lang w:eastAsia="en-US"/>
        </w:rPr>
        <w:t>million ounce</w:t>
      </w:r>
      <w:proofErr w:type="gramEnd"/>
      <w:r w:rsidRPr="00102060">
        <w:rPr>
          <w:rStyle w:val="s1"/>
          <w:rFonts w:eastAsiaTheme="minorEastAsia"/>
          <w:b/>
          <w:bCs/>
          <w:lang w:eastAsia="en-US"/>
        </w:rPr>
        <w:t xml:space="preserve"> potential,</w:t>
      </w:r>
      <w:r w:rsidRPr="00102060">
        <w:rPr>
          <w:rStyle w:val="s1"/>
          <w:rFonts w:eastAsiaTheme="minorEastAsia"/>
          <w:b/>
          <w:bCs/>
        </w:rPr>
        <w:t xml:space="preserve"> that already stands apart from its peers based on grade—something the market has yet to fully appreciate. Encountering new zones of mineralization both near surface and at depth speaks to the true scale of the system, as well as the continuity we are rapidly defining across multiple target areas.</w:t>
      </w:r>
    </w:p>
    <w:p w14:paraId="5D4F89CE" w14:textId="1F388C7A" w:rsidR="00EA452E" w:rsidRPr="00102060" w:rsidRDefault="00EA452E" w:rsidP="00102060">
      <w:pPr>
        <w:spacing w:before="100" w:beforeAutospacing="1" w:after="100" w:afterAutospacing="1" w:line="240" w:lineRule="auto"/>
        <w:jc w:val="both"/>
        <w:rPr>
          <w:rStyle w:val="s1"/>
          <w:rFonts w:eastAsiaTheme="minorEastAsia"/>
          <w:b/>
          <w:bCs/>
        </w:rPr>
      </w:pPr>
      <w:r w:rsidRPr="00102060">
        <w:rPr>
          <w:rStyle w:val="s1"/>
          <w:rFonts w:eastAsiaTheme="minorEastAsia"/>
          <w:b/>
          <w:bCs/>
        </w:rPr>
        <w:t xml:space="preserve">Several of these holes step out meaningfully from the existing resource model, and with multiple intercepts ending in mineralization, our confidence in a significantly expanded resource envelope continues to grow. Intervals such as 18.14 metres grading 1.52 g/t gold in hole 25MN-021, and 3.23 metres grading 9.95 g/t gold in hole 25MN-022, represent a previously unrecognized splay off the main Reliance Trend—one that may ‘blow out’ into thicker zones where it intersects favourable host horizons like the limestones and sandstones that dominate the caldera margin. This is a strong demonstration of </w:t>
      </w:r>
      <w:proofErr w:type="gramStart"/>
      <w:r w:rsidRPr="00102060">
        <w:rPr>
          <w:rStyle w:val="s1"/>
          <w:rFonts w:eastAsiaTheme="minorEastAsia"/>
          <w:b/>
          <w:bCs/>
        </w:rPr>
        <w:t>near-resource</w:t>
      </w:r>
      <w:proofErr w:type="gramEnd"/>
      <w:r w:rsidRPr="00102060">
        <w:rPr>
          <w:rStyle w:val="s1"/>
          <w:rFonts w:eastAsiaTheme="minorEastAsia"/>
          <w:b/>
          <w:bCs/>
        </w:rPr>
        <w:t xml:space="preserve"> prospectivity and the potential to materially expand the mineralized footprint at Mustang Hill and beyond.</w:t>
      </w:r>
    </w:p>
    <w:p w14:paraId="2FFDAC52" w14:textId="3094FAA2" w:rsidR="00C0456A" w:rsidRPr="00102060" w:rsidRDefault="00EA452E" w:rsidP="00102060">
      <w:pPr>
        <w:spacing w:before="100" w:beforeAutospacing="1" w:after="100" w:afterAutospacing="1" w:line="240" w:lineRule="auto"/>
        <w:jc w:val="both"/>
        <w:rPr>
          <w:rStyle w:val="s1"/>
          <w:rFonts w:eastAsiaTheme="minorEastAsia"/>
          <w:b/>
          <w:bCs/>
        </w:rPr>
      </w:pPr>
      <w:r w:rsidRPr="00102060">
        <w:rPr>
          <w:rStyle w:val="s1"/>
          <w:rFonts w:eastAsiaTheme="minorEastAsia"/>
          <w:b/>
          <w:bCs/>
        </w:rPr>
        <w:t>With our 50,000-metre program now well underway, this batch of results is just the beginning of what we expect to be a steady cadence of updates that highlight the growing value of Manhattan, our high-grade, low-risk Nevada gold asset,”</w:t>
      </w:r>
      <w:r w:rsidR="00C247AF">
        <w:rPr>
          <w:rStyle w:val="s1"/>
          <w:rFonts w:eastAsiaTheme="minorEastAsia"/>
          <w:b/>
          <w:bCs/>
        </w:rPr>
        <w:t xml:space="preserve"> </w:t>
      </w:r>
      <w:r w:rsidR="000D59E2" w:rsidRPr="00102060">
        <w:rPr>
          <w:rStyle w:val="s1"/>
          <w:rFonts w:eastAsiaTheme="minorEastAsia"/>
          <w:b/>
          <w:bCs/>
        </w:rPr>
        <w:t>commented Zayn Kalyan, CEO and Director of Scorpio Gold.</w:t>
      </w:r>
    </w:p>
    <w:p w14:paraId="16190C80" w14:textId="63C7D06D" w:rsidR="00A04F67" w:rsidRDefault="00A04F67" w:rsidP="00B028C3">
      <w:pPr>
        <w:pStyle w:val="p1"/>
        <w:jc w:val="both"/>
        <w:rPr>
          <w:rFonts w:ascii="Arial" w:hAnsi="Arial" w:cs="Arial"/>
          <w:sz w:val="22"/>
          <w:szCs w:val="22"/>
        </w:rPr>
      </w:pPr>
      <w:r w:rsidRPr="00A04F67">
        <w:rPr>
          <w:rFonts w:ascii="Arial" w:hAnsi="Arial" w:cs="Arial"/>
          <w:sz w:val="22"/>
          <w:szCs w:val="22"/>
        </w:rPr>
        <w:lastRenderedPageBreak/>
        <w:t>Results from holes MN25-021 and MN25-022</w:t>
      </w:r>
      <w:r w:rsidR="00656205">
        <w:rPr>
          <w:rFonts w:ascii="Arial" w:hAnsi="Arial" w:cs="Arial"/>
          <w:sz w:val="22"/>
          <w:szCs w:val="22"/>
        </w:rPr>
        <w:t xml:space="preserve"> at Mustang Hill</w:t>
      </w:r>
      <w:r w:rsidRPr="00A04F67">
        <w:rPr>
          <w:rFonts w:ascii="Arial" w:hAnsi="Arial" w:cs="Arial"/>
          <w:sz w:val="22"/>
          <w:szCs w:val="22"/>
        </w:rPr>
        <w:t xml:space="preserve"> indicate the presence of a previously unidentified structural trend that hosts gold mineralization at grades </w:t>
      </w:r>
      <w:proofErr w:type="gramStart"/>
      <w:r w:rsidRPr="00A04F67">
        <w:rPr>
          <w:rFonts w:ascii="Arial" w:hAnsi="Arial" w:cs="Arial"/>
          <w:sz w:val="22"/>
          <w:szCs w:val="22"/>
        </w:rPr>
        <w:t>similar to</w:t>
      </w:r>
      <w:proofErr w:type="gramEnd"/>
      <w:r w:rsidRPr="00A04F67">
        <w:rPr>
          <w:rFonts w:ascii="Arial" w:hAnsi="Arial" w:cs="Arial"/>
          <w:sz w:val="22"/>
          <w:szCs w:val="22"/>
        </w:rPr>
        <w:t xml:space="preserve"> the existing Mineral Resource along the margin of the Manhattan Calder</w:t>
      </w:r>
      <w:r w:rsidR="00656205">
        <w:rPr>
          <w:rFonts w:ascii="Arial" w:hAnsi="Arial" w:cs="Arial"/>
          <w:sz w:val="22"/>
          <w:szCs w:val="22"/>
        </w:rPr>
        <w:t xml:space="preserve">a. </w:t>
      </w:r>
      <w:r w:rsidRPr="00A04F67">
        <w:rPr>
          <w:rFonts w:ascii="Arial" w:hAnsi="Arial" w:cs="Arial"/>
          <w:sz w:val="22"/>
          <w:szCs w:val="22"/>
        </w:rPr>
        <w:t>These results present the opportunity to add a new, near-surface target zone to Manhattan that is proximal to the existing Mineral Resource.  Future work will include reviewing historic drillholes and underground workings in the area to define the size and shape of this new target area to prepare for testing with diamond drilling.</w:t>
      </w:r>
    </w:p>
    <w:p w14:paraId="6203593E" w14:textId="240AD842" w:rsidR="00464256" w:rsidRPr="00464256" w:rsidRDefault="00464256" w:rsidP="00464256">
      <w:pPr>
        <w:pStyle w:val="p1"/>
        <w:jc w:val="both"/>
        <w:rPr>
          <w:rFonts w:ascii="Arial" w:hAnsi="Arial" w:cs="Arial"/>
          <w:b/>
          <w:bCs/>
        </w:rPr>
      </w:pPr>
      <w:r w:rsidRPr="00464256">
        <w:rPr>
          <w:rFonts w:ascii="Arial" w:hAnsi="Arial" w:cs="Arial"/>
          <w:b/>
          <w:bCs/>
        </w:rPr>
        <w:t>Implications for Resource Growth</w:t>
      </w:r>
    </w:p>
    <w:p w14:paraId="5F097B81" w14:textId="116BE419" w:rsidR="00464256" w:rsidRDefault="00464256" w:rsidP="00464256">
      <w:pPr>
        <w:pStyle w:val="p1"/>
        <w:jc w:val="both"/>
        <w:rPr>
          <w:rFonts w:ascii="Arial" w:hAnsi="Arial" w:cs="Arial"/>
          <w:sz w:val="22"/>
          <w:szCs w:val="22"/>
        </w:rPr>
      </w:pPr>
      <w:r w:rsidRPr="00464256">
        <w:rPr>
          <w:rFonts w:ascii="Arial" w:hAnsi="Arial" w:cs="Arial"/>
          <w:sz w:val="22"/>
          <w:szCs w:val="22"/>
        </w:rPr>
        <w:t>Collectively, the results from Mustang Hill, the Gap Zone, and the Reliance Trend support Scorpio Gold’s exploration model of significant near-resource expansion. Multiple high-grade intercepts, thick mineralized intervals, and step-outs of 25–100 metres are consistent with the Company’s objective to materially grow the resource base in upcoming updates.</w:t>
      </w:r>
    </w:p>
    <w:tbl>
      <w:tblPr>
        <w:tblStyle w:val="TableGrid"/>
        <w:tblW w:w="0" w:type="auto"/>
        <w:tblLook w:val="04A0" w:firstRow="1" w:lastRow="0" w:firstColumn="1" w:lastColumn="0" w:noHBand="0" w:noVBand="1"/>
      </w:tblPr>
      <w:tblGrid>
        <w:gridCol w:w="1238"/>
        <w:gridCol w:w="1699"/>
        <w:gridCol w:w="2105"/>
        <w:gridCol w:w="4308"/>
      </w:tblGrid>
      <w:tr w:rsidR="00BF5C92" w:rsidRPr="00BF5C92" w14:paraId="329F9BA4" w14:textId="77777777" w:rsidTr="00BF5C92">
        <w:tc>
          <w:tcPr>
            <w:tcW w:w="0" w:type="auto"/>
            <w:shd w:val="clear" w:color="auto" w:fill="BFBFBF" w:themeFill="background1" w:themeFillShade="BF"/>
            <w:hideMark/>
          </w:tcPr>
          <w:p w14:paraId="74B8064C" w14:textId="77777777" w:rsidR="00BF5C92" w:rsidRPr="00BF5C92" w:rsidRDefault="00BF5C92" w:rsidP="00BF5C92">
            <w:pPr>
              <w:jc w:val="center"/>
              <w:rPr>
                <w:rFonts w:eastAsia="Times New Roman"/>
                <w:b/>
                <w:bCs/>
                <w:color w:val="000000"/>
              </w:rPr>
            </w:pPr>
            <w:r w:rsidRPr="00BF5C92">
              <w:rPr>
                <w:rFonts w:eastAsia="Times New Roman"/>
                <w:b/>
                <w:bCs/>
                <w:color w:val="000000"/>
              </w:rPr>
              <w:t>Hole</w:t>
            </w:r>
          </w:p>
        </w:tc>
        <w:tc>
          <w:tcPr>
            <w:tcW w:w="0" w:type="auto"/>
            <w:shd w:val="clear" w:color="auto" w:fill="BFBFBF" w:themeFill="background1" w:themeFillShade="BF"/>
            <w:hideMark/>
          </w:tcPr>
          <w:p w14:paraId="52D67916" w14:textId="77777777" w:rsidR="00BF5C92" w:rsidRPr="00BF5C92" w:rsidRDefault="00BF5C92" w:rsidP="00BF5C92">
            <w:pPr>
              <w:jc w:val="center"/>
              <w:rPr>
                <w:rFonts w:eastAsia="Times New Roman"/>
                <w:b/>
                <w:bCs/>
                <w:color w:val="000000"/>
              </w:rPr>
            </w:pPr>
            <w:r w:rsidRPr="00BF5C92">
              <w:rPr>
                <w:rFonts w:eastAsia="Times New Roman"/>
                <w:b/>
                <w:bCs/>
                <w:color w:val="000000"/>
              </w:rPr>
              <w:t>Area</w:t>
            </w:r>
          </w:p>
        </w:tc>
        <w:tc>
          <w:tcPr>
            <w:tcW w:w="0" w:type="auto"/>
            <w:shd w:val="clear" w:color="auto" w:fill="BFBFBF" w:themeFill="background1" w:themeFillShade="BF"/>
            <w:hideMark/>
          </w:tcPr>
          <w:p w14:paraId="08F014FE" w14:textId="70EAF61D" w:rsidR="00BF5C92" w:rsidRPr="00BF5C92" w:rsidRDefault="00BF5C92" w:rsidP="00BF5C92">
            <w:pPr>
              <w:jc w:val="center"/>
              <w:rPr>
                <w:rFonts w:eastAsia="Times New Roman"/>
                <w:b/>
                <w:bCs/>
                <w:color w:val="000000"/>
              </w:rPr>
            </w:pPr>
            <w:r w:rsidRPr="00BF5C92">
              <w:rPr>
                <w:rFonts w:eastAsia="Times New Roman"/>
                <w:b/>
                <w:bCs/>
                <w:color w:val="000000"/>
              </w:rPr>
              <w:t>Highlight Result</w:t>
            </w:r>
          </w:p>
        </w:tc>
        <w:tc>
          <w:tcPr>
            <w:tcW w:w="0" w:type="auto"/>
            <w:shd w:val="clear" w:color="auto" w:fill="BFBFBF" w:themeFill="background1" w:themeFillShade="BF"/>
            <w:hideMark/>
          </w:tcPr>
          <w:p w14:paraId="7D61F922" w14:textId="77777777" w:rsidR="00BF5C92" w:rsidRPr="00BF5C92" w:rsidRDefault="00BF5C92" w:rsidP="00BF5C92">
            <w:pPr>
              <w:jc w:val="center"/>
              <w:rPr>
                <w:rFonts w:eastAsia="Times New Roman"/>
                <w:b/>
                <w:bCs/>
                <w:color w:val="000000"/>
              </w:rPr>
            </w:pPr>
            <w:r w:rsidRPr="00BF5C92">
              <w:rPr>
                <w:rFonts w:eastAsia="Times New Roman"/>
                <w:b/>
                <w:bCs/>
                <w:color w:val="000000"/>
              </w:rPr>
              <w:t>Geological Significance</w:t>
            </w:r>
          </w:p>
        </w:tc>
      </w:tr>
      <w:tr w:rsidR="00BF5C92" w:rsidRPr="00BF5C92" w14:paraId="5D44433E" w14:textId="77777777" w:rsidTr="00BF5C92">
        <w:tc>
          <w:tcPr>
            <w:tcW w:w="0" w:type="auto"/>
            <w:hideMark/>
          </w:tcPr>
          <w:p w14:paraId="3022BA05" w14:textId="77777777" w:rsidR="00BF5C92" w:rsidRPr="00BF5C92" w:rsidRDefault="00BF5C92" w:rsidP="00BF5C92">
            <w:pPr>
              <w:jc w:val="center"/>
              <w:rPr>
                <w:rFonts w:eastAsia="Times New Roman"/>
                <w:color w:val="000000"/>
              </w:rPr>
            </w:pPr>
            <w:r w:rsidRPr="00BF5C92">
              <w:rPr>
                <w:rFonts w:eastAsia="Times New Roman"/>
                <w:color w:val="000000"/>
              </w:rPr>
              <w:t>25MN-021</w:t>
            </w:r>
          </w:p>
        </w:tc>
        <w:tc>
          <w:tcPr>
            <w:tcW w:w="0" w:type="auto"/>
            <w:hideMark/>
          </w:tcPr>
          <w:p w14:paraId="3F472AAF" w14:textId="77777777" w:rsidR="00BF5C92" w:rsidRPr="00BF5C92" w:rsidRDefault="00BF5C92" w:rsidP="00BF5C92">
            <w:pPr>
              <w:jc w:val="center"/>
              <w:rPr>
                <w:rFonts w:eastAsia="Times New Roman"/>
                <w:color w:val="000000"/>
              </w:rPr>
            </w:pPr>
            <w:r w:rsidRPr="00BF5C92">
              <w:rPr>
                <w:rFonts w:eastAsia="Times New Roman"/>
                <w:color w:val="000000"/>
              </w:rPr>
              <w:t>Mustang Hill</w:t>
            </w:r>
          </w:p>
        </w:tc>
        <w:tc>
          <w:tcPr>
            <w:tcW w:w="0" w:type="auto"/>
            <w:hideMark/>
          </w:tcPr>
          <w:p w14:paraId="283D3F63" w14:textId="77777777" w:rsidR="00BF5C92" w:rsidRPr="00BF5C92" w:rsidRDefault="00BF5C92" w:rsidP="00BF5C92">
            <w:pPr>
              <w:jc w:val="center"/>
              <w:rPr>
                <w:rFonts w:eastAsia="Times New Roman"/>
                <w:b/>
                <w:bCs/>
                <w:color w:val="000000"/>
              </w:rPr>
            </w:pPr>
            <w:r w:rsidRPr="00BF5C92">
              <w:rPr>
                <w:rFonts w:eastAsia="Times New Roman"/>
                <w:b/>
                <w:bCs/>
                <w:color w:val="000000"/>
              </w:rPr>
              <w:t>39.01 m @ 1.03 g/t</w:t>
            </w:r>
          </w:p>
        </w:tc>
        <w:tc>
          <w:tcPr>
            <w:tcW w:w="0" w:type="auto"/>
            <w:hideMark/>
          </w:tcPr>
          <w:p w14:paraId="50B57B33" w14:textId="77777777" w:rsidR="00BF5C92" w:rsidRPr="00BF5C92" w:rsidRDefault="00BF5C92" w:rsidP="00BF5C92">
            <w:pPr>
              <w:rPr>
                <w:rFonts w:eastAsia="Times New Roman"/>
                <w:color w:val="000000"/>
              </w:rPr>
            </w:pPr>
            <w:r w:rsidRPr="00BF5C92">
              <w:rPr>
                <w:rFonts w:eastAsia="Times New Roman"/>
                <w:color w:val="000000"/>
              </w:rPr>
              <w:t>New structural splay; 100 m from resource</w:t>
            </w:r>
          </w:p>
        </w:tc>
      </w:tr>
      <w:tr w:rsidR="00BF5C92" w:rsidRPr="00BF5C92" w14:paraId="0F534DC9" w14:textId="77777777" w:rsidTr="00BF5C92">
        <w:tc>
          <w:tcPr>
            <w:tcW w:w="0" w:type="auto"/>
            <w:hideMark/>
          </w:tcPr>
          <w:p w14:paraId="1ED49B0F" w14:textId="77777777" w:rsidR="00BF5C92" w:rsidRPr="00BF5C92" w:rsidRDefault="00BF5C92" w:rsidP="00BF5C92">
            <w:pPr>
              <w:jc w:val="center"/>
              <w:rPr>
                <w:rFonts w:eastAsia="Times New Roman"/>
                <w:color w:val="000000"/>
              </w:rPr>
            </w:pPr>
            <w:r w:rsidRPr="00BF5C92">
              <w:rPr>
                <w:rFonts w:eastAsia="Times New Roman"/>
                <w:color w:val="000000"/>
              </w:rPr>
              <w:t>25MN-022</w:t>
            </w:r>
          </w:p>
        </w:tc>
        <w:tc>
          <w:tcPr>
            <w:tcW w:w="0" w:type="auto"/>
            <w:hideMark/>
          </w:tcPr>
          <w:p w14:paraId="5D4D59C0" w14:textId="77777777" w:rsidR="00BF5C92" w:rsidRPr="00BF5C92" w:rsidRDefault="00BF5C92" w:rsidP="00BF5C92">
            <w:pPr>
              <w:jc w:val="center"/>
              <w:rPr>
                <w:rFonts w:eastAsia="Times New Roman"/>
                <w:color w:val="000000"/>
              </w:rPr>
            </w:pPr>
            <w:r w:rsidRPr="00BF5C92">
              <w:rPr>
                <w:rFonts w:eastAsia="Times New Roman"/>
                <w:color w:val="000000"/>
              </w:rPr>
              <w:t>Mustang Hill</w:t>
            </w:r>
          </w:p>
        </w:tc>
        <w:tc>
          <w:tcPr>
            <w:tcW w:w="0" w:type="auto"/>
            <w:hideMark/>
          </w:tcPr>
          <w:p w14:paraId="7B7909A4" w14:textId="77777777" w:rsidR="00BF5C92" w:rsidRPr="00BF5C92" w:rsidRDefault="00BF5C92" w:rsidP="00BF5C92">
            <w:pPr>
              <w:jc w:val="center"/>
              <w:rPr>
                <w:rFonts w:eastAsia="Times New Roman"/>
                <w:b/>
                <w:bCs/>
                <w:color w:val="000000"/>
              </w:rPr>
            </w:pPr>
            <w:r w:rsidRPr="00BF5C92">
              <w:rPr>
                <w:rFonts w:eastAsia="Times New Roman"/>
                <w:b/>
                <w:bCs/>
                <w:color w:val="000000"/>
              </w:rPr>
              <w:t>3.23 m @ 21.82 g/t</w:t>
            </w:r>
          </w:p>
        </w:tc>
        <w:tc>
          <w:tcPr>
            <w:tcW w:w="0" w:type="auto"/>
            <w:hideMark/>
          </w:tcPr>
          <w:p w14:paraId="6D73D22F" w14:textId="77777777" w:rsidR="00BF5C92" w:rsidRPr="00BF5C92" w:rsidRDefault="00BF5C92" w:rsidP="00BF5C92">
            <w:pPr>
              <w:rPr>
                <w:rFonts w:eastAsia="Times New Roman"/>
                <w:color w:val="000000"/>
              </w:rPr>
            </w:pPr>
            <w:r w:rsidRPr="00BF5C92">
              <w:rPr>
                <w:rFonts w:eastAsia="Times New Roman"/>
                <w:color w:val="000000"/>
              </w:rPr>
              <w:t>High-grade feeder zone</w:t>
            </w:r>
          </w:p>
        </w:tc>
      </w:tr>
      <w:tr w:rsidR="00BF5C92" w:rsidRPr="00BF5C92" w14:paraId="7C12C075" w14:textId="77777777" w:rsidTr="00BF5C92">
        <w:tc>
          <w:tcPr>
            <w:tcW w:w="0" w:type="auto"/>
            <w:hideMark/>
          </w:tcPr>
          <w:p w14:paraId="09DBE37A" w14:textId="77777777" w:rsidR="00BF5C92" w:rsidRPr="00BF5C92" w:rsidRDefault="00BF5C92" w:rsidP="00BF5C92">
            <w:pPr>
              <w:jc w:val="center"/>
              <w:rPr>
                <w:rFonts w:eastAsia="Times New Roman"/>
                <w:color w:val="000000"/>
              </w:rPr>
            </w:pPr>
            <w:r w:rsidRPr="00BF5C92">
              <w:rPr>
                <w:rFonts w:eastAsia="Times New Roman"/>
                <w:color w:val="000000"/>
              </w:rPr>
              <w:t>25MN-020</w:t>
            </w:r>
          </w:p>
        </w:tc>
        <w:tc>
          <w:tcPr>
            <w:tcW w:w="0" w:type="auto"/>
            <w:hideMark/>
          </w:tcPr>
          <w:p w14:paraId="53B26F6C" w14:textId="77777777" w:rsidR="00BF5C92" w:rsidRPr="00BF5C92" w:rsidRDefault="00BF5C92" w:rsidP="00BF5C92">
            <w:pPr>
              <w:jc w:val="center"/>
              <w:rPr>
                <w:rFonts w:eastAsia="Times New Roman"/>
                <w:color w:val="000000"/>
              </w:rPr>
            </w:pPr>
            <w:r w:rsidRPr="00BF5C92">
              <w:rPr>
                <w:rFonts w:eastAsia="Times New Roman"/>
                <w:color w:val="000000"/>
              </w:rPr>
              <w:t>Gap Zone</w:t>
            </w:r>
          </w:p>
        </w:tc>
        <w:tc>
          <w:tcPr>
            <w:tcW w:w="0" w:type="auto"/>
            <w:hideMark/>
          </w:tcPr>
          <w:p w14:paraId="7F697399" w14:textId="77777777" w:rsidR="00BF5C92" w:rsidRPr="00BF5C92" w:rsidRDefault="00BF5C92" w:rsidP="00BF5C92">
            <w:pPr>
              <w:jc w:val="center"/>
              <w:rPr>
                <w:rFonts w:eastAsia="Times New Roman"/>
                <w:b/>
                <w:bCs/>
                <w:color w:val="000000"/>
              </w:rPr>
            </w:pPr>
            <w:r w:rsidRPr="00BF5C92">
              <w:rPr>
                <w:rFonts w:eastAsia="Times New Roman"/>
                <w:b/>
                <w:bCs/>
                <w:color w:val="000000"/>
              </w:rPr>
              <w:t>36.97 m @ 0.94 g/t</w:t>
            </w:r>
          </w:p>
        </w:tc>
        <w:tc>
          <w:tcPr>
            <w:tcW w:w="0" w:type="auto"/>
            <w:hideMark/>
          </w:tcPr>
          <w:p w14:paraId="0B84ADF8" w14:textId="77777777" w:rsidR="00BF5C92" w:rsidRPr="00BF5C92" w:rsidRDefault="00BF5C92" w:rsidP="00BF5C92">
            <w:pPr>
              <w:rPr>
                <w:rFonts w:eastAsia="Times New Roman"/>
                <w:color w:val="000000"/>
              </w:rPr>
            </w:pPr>
            <w:r w:rsidRPr="00BF5C92">
              <w:rPr>
                <w:rFonts w:eastAsia="Times New Roman"/>
                <w:color w:val="000000"/>
              </w:rPr>
              <w:t>Resource continuity</w:t>
            </w:r>
          </w:p>
        </w:tc>
      </w:tr>
      <w:tr w:rsidR="00BF5C92" w:rsidRPr="00BF5C92" w14:paraId="6501FB94" w14:textId="77777777" w:rsidTr="00BF5C92">
        <w:tc>
          <w:tcPr>
            <w:tcW w:w="0" w:type="auto"/>
            <w:hideMark/>
          </w:tcPr>
          <w:p w14:paraId="766E3FA3" w14:textId="77777777" w:rsidR="00BF5C92" w:rsidRPr="00BF5C92" w:rsidRDefault="00BF5C92" w:rsidP="00BF5C92">
            <w:pPr>
              <w:jc w:val="center"/>
              <w:rPr>
                <w:rFonts w:eastAsia="Times New Roman"/>
                <w:color w:val="000000"/>
              </w:rPr>
            </w:pPr>
            <w:r w:rsidRPr="00BF5C92">
              <w:rPr>
                <w:rFonts w:eastAsia="Times New Roman"/>
                <w:color w:val="000000"/>
              </w:rPr>
              <w:t>25MN-026</w:t>
            </w:r>
          </w:p>
        </w:tc>
        <w:tc>
          <w:tcPr>
            <w:tcW w:w="0" w:type="auto"/>
            <w:hideMark/>
          </w:tcPr>
          <w:p w14:paraId="7E8C4912" w14:textId="77777777" w:rsidR="00BF5C92" w:rsidRPr="00BF5C92" w:rsidRDefault="00BF5C92" w:rsidP="00BF5C92">
            <w:pPr>
              <w:jc w:val="center"/>
              <w:rPr>
                <w:rFonts w:eastAsia="Times New Roman"/>
                <w:color w:val="000000"/>
              </w:rPr>
            </w:pPr>
            <w:r w:rsidRPr="00BF5C92">
              <w:rPr>
                <w:rFonts w:eastAsia="Times New Roman"/>
                <w:color w:val="000000"/>
              </w:rPr>
              <w:t>Reliance Trend</w:t>
            </w:r>
          </w:p>
        </w:tc>
        <w:tc>
          <w:tcPr>
            <w:tcW w:w="0" w:type="auto"/>
            <w:hideMark/>
          </w:tcPr>
          <w:p w14:paraId="66DC374A" w14:textId="77777777" w:rsidR="00BF5C92" w:rsidRPr="00BF5C92" w:rsidRDefault="00BF5C92" w:rsidP="00BF5C92">
            <w:pPr>
              <w:jc w:val="center"/>
              <w:rPr>
                <w:rFonts w:eastAsia="Times New Roman"/>
                <w:b/>
                <w:bCs/>
                <w:color w:val="000000"/>
              </w:rPr>
            </w:pPr>
            <w:r w:rsidRPr="00BF5C92">
              <w:rPr>
                <w:rFonts w:eastAsia="Times New Roman"/>
                <w:b/>
                <w:bCs/>
                <w:color w:val="000000"/>
              </w:rPr>
              <w:t>24.67 m @ 1.85 g/t</w:t>
            </w:r>
          </w:p>
        </w:tc>
        <w:tc>
          <w:tcPr>
            <w:tcW w:w="0" w:type="auto"/>
            <w:hideMark/>
          </w:tcPr>
          <w:p w14:paraId="2942068C" w14:textId="77777777" w:rsidR="00BF5C92" w:rsidRPr="00BF5C92" w:rsidRDefault="00BF5C92" w:rsidP="00BF5C92">
            <w:pPr>
              <w:rPr>
                <w:rFonts w:eastAsia="Times New Roman"/>
                <w:color w:val="000000"/>
              </w:rPr>
            </w:pPr>
            <w:r w:rsidRPr="00BF5C92">
              <w:rPr>
                <w:rFonts w:eastAsia="Times New Roman"/>
                <w:color w:val="000000"/>
              </w:rPr>
              <w:t>Step-out expansion</w:t>
            </w:r>
          </w:p>
        </w:tc>
      </w:tr>
      <w:tr w:rsidR="00BF5C92" w:rsidRPr="00BF5C92" w14:paraId="44EB149C" w14:textId="77777777" w:rsidTr="00BF5C92">
        <w:tc>
          <w:tcPr>
            <w:tcW w:w="0" w:type="auto"/>
            <w:hideMark/>
          </w:tcPr>
          <w:p w14:paraId="181D4AFD" w14:textId="77777777" w:rsidR="00BF5C92" w:rsidRPr="00BF5C92" w:rsidRDefault="00BF5C92" w:rsidP="00BF5C92">
            <w:pPr>
              <w:jc w:val="center"/>
              <w:rPr>
                <w:rFonts w:eastAsia="Times New Roman"/>
                <w:color w:val="000000"/>
              </w:rPr>
            </w:pPr>
            <w:r w:rsidRPr="00BF5C92">
              <w:rPr>
                <w:rFonts w:eastAsia="Times New Roman"/>
                <w:color w:val="000000"/>
              </w:rPr>
              <w:t>25MN-025</w:t>
            </w:r>
          </w:p>
        </w:tc>
        <w:tc>
          <w:tcPr>
            <w:tcW w:w="0" w:type="auto"/>
            <w:hideMark/>
          </w:tcPr>
          <w:p w14:paraId="36D286CE" w14:textId="77777777" w:rsidR="00BF5C92" w:rsidRPr="00BF5C92" w:rsidRDefault="00BF5C92" w:rsidP="00BF5C92">
            <w:pPr>
              <w:jc w:val="center"/>
              <w:rPr>
                <w:rFonts w:eastAsia="Times New Roman"/>
                <w:color w:val="000000"/>
              </w:rPr>
            </w:pPr>
            <w:r w:rsidRPr="00BF5C92">
              <w:rPr>
                <w:rFonts w:eastAsia="Times New Roman"/>
                <w:color w:val="000000"/>
              </w:rPr>
              <w:t>Reliance Trend</w:t>
            </w:r>
          </w:p>
        </w:tc>
        <w:tc>
          <w:tcPr>
            <w:tcW w:w="0" w:type="auto"/>
            <w:hideMark/>
          </w:tcPr>
          <w:p w14:paraId="458A5DD5" w14:textId="77777777" w:rsidR="00BF5C92" w:rsidRPr="00BF5C92" w:rsidRDefault="00BF5C92" w:rsidP="00BF5C92">
            <w:pPr>
              <w:jc w:val="center"/>
              <w:rPr>
                <w:rFonts w:eastAsia="Times New Roman"/>
                <w:b/>
                <w:bCs/>
                <w:color w:val="000000"/>
              </w:rPr>
            </w:pPr>
            <w:r w:rsidRPr="00BF5C92">
              <w:rPr>
                <w:rFonts w:eastAsia="Times New Roman"/>
                <w:b/>
                <w:bCs/>
                <w:color w:val="000000"/>
              </w:rPr>
              <w:t>3.47 m @ 6.69 g/t</w:t>
            </w:r>
          </w:p>
        </w:tc>
        <w:tc>
          <w:tcPr>
            <w:tcW w:w="0" w:type="auto"/>
            <w:hideMark/>
          </w:tcPr>
          <w:p w14:paraId="683E9BC7" w14:textId="77777777" w:rsidR="00BF5C92" w:rsidRPr="00BF5C92" w:rsidRDefault="00BF5C92" w:rsidP="00BF5C92">
            <w:pPr>
              <w:rPr>
                <w:rFonts w:eastAsia="Times New Roman"/>
                <w:color w:val="000000"/>
              </w:rPr>
            </w:pPr>
            <w:r w:rsidRPr="00BF5C92">
              <w:rPr>
                <w:rFonts w:eastAsia="Times New Roman"/>
                <w:color w:val="000000"/>
              </w:rPr>
              <w:t>Complex boundary modeling</w:t>
            </w:r>
          </w:p>
        </w:tc>
      </w:tr>
      <w:tr w:rsidR="00BF5C92" w:rsidRPr="00BF5C92" w14:paraId="364047AC" w14:textId="77777777" w:rsidTr="00BF5C92">
        <w:tc>
          <w:tcPr>
            <w:tcW w:w="0" w:type="auto"/>
            <w:hideMark/>
          </w:tcPr>
          <w:p w14:paraId="09826D0E" w14:textId="77777777" w:rsidR="00BF5C92" w:rsidRPr="00BF5C92" w:rsidRDefault="00BF5C92" w:rsidP="00BF5C92">
            <w:pPr>
              <w:jc w:val="center"/>
              <w:rPr>
                <w:rFonts w:eastAsia="Times New Roman"/>
                <w:color w:val="000000"/>
              </w:rPr>
            </w:pPr>
            <w:r w:rsidRPr="00BF5C92">
              <w:rPr>
                <w:rFonts w:eastAsia="Times New Roman"/>
                <w:color w:val="000000"/>
              </w:rPr>
              <w:t>25MN-024</w:t>
            </w:r>
          </w:p>
        </w:tc>
        <w:tc>
          <w:tcPr>
            <w:tcW w:w="0" w:type="auto"/>
            <w:hideMark/>
          </w:tcPr>
          <w:p w14:paraId="6B9E7764" w14:textId="77777777" w:rsidR="00BF5C92" w:rsidRPr="00BF5C92" w:rsidRDefault="00BF5C92" w:rsidP="00BF5C92">
            <w:pPr>
              <w:jc w:val="center"/>
              <w:rPr>
                <w:rFonts w:eastAsia="Times New Roman"/>
                <w:color w:val="000000"/>
              </w:rPr>
            </w:pPr>
            <w:r w:rsidRPr="00BF5C92">
              <w:rPr>
                <w:rFonts w:eastAsia="Times New Roman"/>
                <w:color w:val="000000"/>
              </w:rPr>
              <w:t>Reliance Trend</w:t>
            </w:r>
          </w:p>
        </w:tc>
        <w:tc>
          <w:tcPr>
            <w:tcW w:w="0" w:type="auto"/>
            <w:hideMark/>
          </w:tcPr>
          <w:p w14:paraId="39573835" w14:textId="77777777" w:rsidR="00BF5C92" w:rsidRPr="00BF5C92" w:rsidRDefault="00BF5C92" w:rsidP="00BF5C92">
            <w:pPr>
              <w:jc w:val="center"/>
              <w:rPr>
                <w:rFonts w:eastAsia="Times New Roman"/>
                <w:b/>
                <w:bCs/>
                <w:color w:val="000000"/>
              </w:rPr>
            </w:pPr>
            <w:r w:rsidRPr="00BF5C92">
              <w:rPr>
                <w:rFonts w:eastAsia="Times New Roman"/>
                <w:b/>
                <w:bCs/>
                <w:color w:val="000000"/>
              </w:rPr>
              <w:t>8.99 m @ 1.93 g/t</w:t>
            </w:r>
          </w:p>
        </w:tc>
        <w:tc>
          <w:tcPr>
            <w:tcW w:w="0" w:type="auto"/>
            <w:hideMark/>
          </w:tcPr>
          <w:p w14:paraId="62140CEA" w14:textId="77777777" w:rsidR="00BF5C92" w:rsidRPr="00BF5C92" w:rsidRDefault="00BF5C92" w:rsidP="00BF5C92">
            <w:pPr>
              <w:rPr>
                <w:rFonts w:eastAsia="Times New Roman"/>
                <w:color w:val="000000"/>
              </w:rPr>
            </w:pPr>
            <w:r w:rsidRPr="00BF5C92">
              <w:rPr>
                <w:rFonts w:eastAsia="Times New Roman"/>
                <w:color w:val="000000"/>
              </w:rPr>
              <w:t>25 m step-out</w:t>
            </w:r>
          </w:p>
        </w:tc>
      </w:tr>
      <w:tr w:rsidR="00BF5C92" w:rsidRPr="00BF5C92" w14:paraId="27C7C7DF" w14:textId="77777777" w:rsidTr="00BF5C92">
        <w:tc>
          <w:tcPr>
            <w:tcW w:w="0" w:type="auto"/>
            <w:hideMark/>
          </w:tcPr>
          <w:p w14:paraId="5B0A6314" w14:textId="77777777" w:rsidR="00BF5C92" w:rsidRPr="00BF5C92" w:rsidRDefault="00BF5C92" w:rsidP="00BF5C92">
            <w:pPr>
              <w:jc w:val="center"/>
              <w:rPr>
                <w:rFonts w:eastAsia="Times New Roman"/>
                <w:color w:val="000000"/>
              </w:rPr>
            </w:pPr>
            <w:r w:rsidRPr="00BF5C92">
              <w:rPr>
                <w:rFonts w:eastAsia="Times New Roman"/>
                <w:color w:val="000000"/>
              </w:rPr>
              <w:t>25MN-023</w:t>
            </w:r>
          </w:p>
        </w:tc>
        <w:tc>
          <w:tcPr>
            <w:tcW w:w="0" w:type="auto"/>
            <w:hideMark/>
          </w:tcPr>
          <w:p w14:paraId="3887EF0D" w14:textId="77777777" w:rsidR="00BF5C92" w:rsidRPr="00BF5C92" w:rsidRDefault="00BF5C92" w:rsidP="00BF5C92">
            <w:pPr>
              <w:jc w:val="center"/>
              <w:rPr>
                <w:rFonts w:eastAsia="Times New Roman"/>
                <w:color w:val="000000"/>
              </w:rPr>
            </w:pPr>
            <w:r w:rsidRPr="00BF5C92">
              <w:rPr>
                <w:rFonts w:eastAsia="Times New Roman"/>
                <w:color w:val="000000"/>
              </w:rPr>
              <w:t>Stray Dog</w:t>
            </w:r>
          </w:p>
        </w:tc>
        <w:tc>
          <w:tcPr>
            <w:tcW w:w="0" w:type="auto"/>
            <w:hideMark/>
          </w:tcPr>
          <w:p w14:paraId="51EA9811" w14:textId="77777777" w:rsidR="00BF5C92" w:rsidRPr="00BF5C92" w:rsidRDefault="00BF5C92" w:rsidP="00BF5C92">
            <w:pPr>
              <w:jc w:val="center"/>
              <w:rPr>
                <w:rFonts w:eastAsia="Times New Roman"/>
                <w:b/>
                <w:bCs/>
                <w:color w:val="000000"/>
              </w:rPr>
            </w:pPr>
            <w:r w:rsidRPr="00BF5C92">
              <w:rPr>
                <w:rFonts w:eastAsia="Times New Roman"/>
                <w:b/>
                <w:bCs/>
                <w:color w:val="000000"/>
              </w:rPr>
              <w:t>4.88 m @ 2.59 g/t</w:t>
            </w:r>
          </w:p>
        </w:tc>
        <w:tc>
          <w:tcPr>
            <w:tcW w:w="0" w:type="auto"/>
            <w:hideMark/>
          </w:tcPr>
          <w:p w14:paraId="2FD8B5EB" w14:textId="77777777" w:rsidR="00BF5C92" w:rsidRPr="00BF5C92" w:rsidRDefault="00BF5C92" w:rsidP="00BF5C92">
            <w:pPr>
              <w:rPr>
                <w:rFonts w:eastAsia="Times New Roman"/>
                <w:color w:val="000000"/>
              </w:rPr>
            </w:pPr>
            <w:r w:rsidRPr="00BF5C92">
              <w:rPr>
                <w:rFonts w:eastAsia="Times New Roman"/>
                <w:color w:val="000000"/>
              </w:rPr>
              <w:t>100 m step-out; limits extent</w:t>
            </w:r>
          </w:p>
        </w:tc>
      </w:tr>
    </w:tbl>
    <w:p w14:paraId="06D7D158" w14:textId="77777777" w:rsidR="00BF5C92" w:rsidRPr="001D2C5D" w:rsidRDefault="00BF5C92" w:rsidP="00464256">
      <w:pPr>
        <w:pStyle w:val="p1"/>
        <w:jc w:val="both"/>
        <w:rPr>
          <w:rFonts w:ascii="Arial" w:hAnsi="Arial" w:cs="Arial"/>
          <w:sz w:val="22"/>
          <w:szCs w:val="22"/>
        </w:rPr>
      </w:pPr>
    </w:p>
    <w:p w14:paraId="4D90CFC8" w14:textId="35077A87" w:rsidR="00547C8D" w:rsidRDefault="00854EF0" w:rsidP="00AF4C09">
      <w:pPr>
        <w:spacing w:line="240" w:lineRule="auto"/>
        <w:jc w:val="both"/>
        <w:rPr>
          <w:b/>
          <w:bCs/>
        </w:rPr>
      </w:pPr>
      <w:r>
        <w:rPr>
          <w:b/>
          <w:bCs/>
          <w:noProof/>
        </w:rPr>
        <w:lastRenderedPageBreak/>
        <w:drawing>
          <wp:inline distT="0" distB="0" distL="0" distR="0" wp14:anchorId="728E0FF7" wp14:editId="04C175F3">
            <wp:extent cx="6315982" cy="5677946"/>
            <wp:effectExtent l="38100" t="38100" r="85090" b="88265"/>
            <wp:docPr id="127019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773" cy="571821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15FDC3B3" w14:textId="723429D5" w:rsidR="00547C8D" w:rsidRDefault="00B9514A" w:rsidP="00AF4C09">
      <w:pPr>
        <w:spacing w:line="240" w:lineRule="auto"/>
        <w:jc w:val="both"/>
        <w:rPr>
          <w:b/>
          <w:bCs/>
        </w:rPr>
      </w:pPr>
      <w:r w:rsidRPr="005676BE">
        <w:rPr>
          <w:b/>
          <w:bCs/>
        </w:rPr>
        <w:t xml:space="preserve">Figure 1. </w:t>
      </w:r>
      <w:r w:rsidR="00D026AB" w:rsidRPr="00CA47AD">
        <w:rPr>
          <w:b/>
          <w:bCs/>
        </w:rPr>
        <w:t>Plan</w:t>
      </w:r>
      <w:r w:rsidR="00D026AB">
        <w:rPr>
          <w:b/>
          <w:bCs/>
        </w:rPr>
        <w:t xml:space="preserve"> map showing surface background with Inferred Mineral Resource block model and highlighting intercepts in reported batch of drill hole results.</w:t>
      </w:r>
    </w:p>
    <w:p w14:paraId="7C008F20" w14:textId="77777777" w:rsidR="00D026AB" w:rsidRDefault="00D026AB" w:rsidP="00AF4C09">
      <w:pPr>
        <w:spacing w:line="240" w:lineRule="auto"/>
        <w:jc w:val="both"/>
        <w:rPr>
          <w:b/>
          <w:bCs/>
        </w:rPr>
      </w:pPr>
    </w:p>
    <w:p w14:paraId="169E1ACC" w14:textId="77777777" w:rsidR="00D66DAA" w:rsidRDefault="00D66DAA" w:rsidP="00AF4C09">
      <w:pPr>
        <w:spacing w:line="240" w:lineRule="auto"/>
        <w:jc w:val="both"/>
        <w:rPr>
          <w:b/>
          <w:bCs/>
        </w:rPr>
      </w:pPr>
    </w:p>
    <w:p w14:paraId="475F67CF" w14:textId="77777777" w:rsidR="00D66DAA" w:rsidRDefault="00D66DAA" w:rsidP="00AF4C09">
      <w:pPr>
        <w:spacing w:line="240" w:lineRule="auto"/>
        <w:jc w:val="both"/>
        <w:rPr>
          <w:b/>
          <w:bCs/>
        </w:rPr>
      </w:pPr>
    </w:p>
    <w:p w14:paraId="52107084" w14:textId="77777777" w:rsidR="00D66DAA" w:rsidRDefault="00D66DAA" w:rsidP="00AF4C09">
      <w:pPr>
        <w:spacing w:line="240" w:lineRule="auto"/>
        <w:jc w:val="both"/>
        <w:rPr>
          <w:b/>
          <w:bCs/>
        </w:rPr>
      </w:pPr>
    </w:p>
    <w:p w14:paraId="700AC456" w14:textId="77777777" w:rsidR="00D66DAA" w:rsidRDefault="00D66DAA" w:rsidP="00AF4C09">
      <w:pPr>
        <w:spacing w:line="240" w:lineRule="auto"/>
        <w:jc w:val="both"/>
        <w:rPr>
          <w:b/>
          <w:bCs/>
        </w:rPr>
      </w:pPr>
    </w:p>
    <w:p w14:paraId="72062618" w14:textId="77777777" w:rsidR="00D66DAA" w:rsidRDefault="00D66DAA" w:rsidP="00AF4C09">
      <w:pPr>
        <w:spacing w:line="240" w:lineRule="auto"/>
        <w:jc w:val="both"/>
        <w:rPr>
          <w:b/>
          <w:bCs/>
        </w:rPr>
      </w:pPr>
    </w:p>
    <w:p w14:paraId="4DBE0AB1" w14:textId="77777777" w:rsidR="00D66DAA" w:rsidRDefault="00D66DAA" w:rsidP="00AF4C09">
      <w:pPr>
        <w:spacing w:line="240" w:lineRule="auto"/>
        <w:jc w:val="both"/>
        <w:rPr>
          <w:b/>
          <w:bCs/>
        </w:rPr>
      </w:pPr>
    </w:p>
    <w:p w14:paraId="1D51FB19" w14:textId="77777777" w:rsidR="00D66DAA" w:rsidRDefault="00D66DAA" w:rsidP="00AF4C09">
      <w:pPr>
        <w:spacing w:line="240" w:lineRule="auto"/>
        <w:jc w:val="both"/>
        <w:rPr>
          <w:b/>
          <w:bCs/>
        </w:rPr>
      </w:pPr>
    </w:p>
    <w:p w14:paraId="4F4B9B5A" w14:textId="77777777" w:rsidR="00D66DAA" w:rsidRDefault="00D66DAA" w:rsidP="00AF4C09">
      <w:pPr>
        <w:spacing w:line="240" w:lineRule="auto"/>
        <w:jc w:val="both"/>
        <w:rPr>
          <w:b/>
          <w:bCs/>
        </w:rPr>
      </w:pPr>
    </w:p>
    <w:tbl>
      <w:tblPr>
        <w:tblW w:w="9960" w:type="dxa"/>
        <w:tblLook w:val="04A0" w:firstRow="1" w:lastRow="0" w:firstColumn="1" w:lastColumn="0" w:noHBand="0" w:noVBand="1"/>
      </w:tblPr>
      <w:tblGrid>
        <w:gridCol w:w="1748"/>
        <w:gridCol w:w="1676"/>
        <w:gridCol w:w="1636"/>
        <w:gridCol w:w="1636"/>
        <w:gridCol w:w="1636"/>
        <w:gridCol w:w="1628"/>
      </w:tblGrid>
      <w:tr w:rsidR="00C4796B" w:rsidRPr="00C4796B" w14:paraId="703AD892" w14:textId="77777777" w:rsidTr="00FF69BF">
        <w:trPr>
          <w:trHeight w:val="570"/>
          <w:tblHeader/>
        </w:trPr>
        <w:tc>
          <w:tcPr>
            <w:tcW w:w="1748" w:type="dxa"/>
            <w:tcBorders>
              <w:top w:val="single" w:sz="8" w:space="0" w:color="auto"/>
              <w:left w:val="single" w:sz="8" w:space="0" w:color="auto"/>
              <w:bottom w:val="nil"/>
              <w:right w:val="nil"/>
            </w:tcBorders>
            <w:shd w:val="clear" w:color="000000" w:fill="D9D9D9"/>
            <w:noWrap/>
            <w:vAlign w:val="center"/>
            <w:hideMark/>
          </w:tcPr>
          <w:p w14:paraId="13308508"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lastRenderedPageBreak/>
              <w:t>Drill Hole ID</w:t>
            </w:r>
          </w:p>
        </w:tc>
        <w:tc>
          <w:tcPr>
            <w:tcW w:w="1676" w:type="dxa"/>
            <w:tcBorders>
              <w:top w:val="single" w:sz="8" w:space="0" w:color="auto"/>
              <w:left w:val="nil"/>
              <w:bottom w:val="nil"/>
              <w:right w:val="nil"/>
            </w:tcBorders>
            <w:shd w:val="clear" w:color="000000" w:fill="D9D9D9"/>
            <w:vAlign w:val="center"/>
            <w:hideMark/>
          </w:tcPr>
          <w:p w14:paraId="476C36B5"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t>Target</w:t>
            </w:r>
            <w:r w:rsidRPr="00C4796B">
              <w:rPr>
                <w:rFonts w:eastAsia="Times New Roman"/>
                <w:b/>
                <w:bCs/>
                <w:color w:val="000000"/>
              </w:rPr>
              <w:br/>
              <w:t>Azimuth / Dip</w:t>
            </w:r>
          </w:p>
        </w:tc>
        <w:tc>
          <w:tcPr>
            <w:tcW w:w="1636" w:type="dxa"/>
            <w:tcBorders>
              <w:top w:val="single" w:sz="8" w:space="0" w:color="auto"/>
              <w:left w:val="nil"/>
              <w:bottom w:val="nil"/>
              <w:right w:val="nil"/>
            </w:tcBorders>
            <w:shd w:val="clear" w:color="000000" w:fill="D9D9D9"/>
            <w:noWrap/>
            <w:vAlign w:val="center"/>
            <w:hideMark/>
          </w:tcPr>
          <w:p w14:paraId="1D7B9D71"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t>From (m)</w:t>
            </w:r>
          </w:p>
        </w:tc>
        <w:tc>
          <w:tcPr>
            <w:tcW w:w="1636" w:type="dxa"/>
            <w:tcBorders>
              <w:top w:val="single" w:sz="8" w:space="0" w:color="auto"/>
              <w:left w:val="nil"/>
              <w:bottom w:val="nil"/>
              <w:right w:val="nil"/>
            </w:tcBorders>
            <w:shd w:val="clear" w:color="000000" w:fill="D9D9D9"/>
            <w:noWrap/>
            <w:vAlign w:val="center"/>
            <w:hideMark/>
          </w:tcPr>
          <w:p w14:paraId="2A53A9CE"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t>To (m)</w:t>
            </w:r>
          </w:p>
        </w:tc>
        <w:tc>
          <w:tcPr>
            <w:tcW w:w="1636" w:type="dxa"/>
            <w:tcBorders>
              <w:top w:val="single" w:sz="8" w:space="0" w:color="auto"/>
              <w:left w:val="nil"/>
              <w:bottom w:val="nil"/>
              <w:right w:val="nil"/>
            </w:tcBorders>
            <w:shd w:val="clear" w:color="000000" w:fill="D9D9D9"/>
            <w:noWrap/>
            <w:vAlign w:val="center"/>
            <w:hideMark/>
          </w:tcPr>
          <w:p w14:paraId="66A60EB0"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t>Intercept¹ (m)</w:t>
            </w:r>
          </w:p>
        </w:tc>
        <w:tc>
          <w:tcPr>
            <w:tcW w:w="1628" w:type="dxa"/>
            <w:tcBorders>
              <w:top w:val="single" w:sz="8" w:space="0" w:color="auto"/>
              <w:left w:val="nil"/>
              <w:bottom w:val="nil"/>
              <w:right w:val="single" w:sz="8" w:space="0" w:color="auto"/>
            </w:tcBorders>
            <w:shd w:val="clear" w:color="000000" w:fill="D9D9D9"/>
            <w:noWrap/>
            <w:vAlign w:val="center"/>
            <w:hideMark/>
          </w:tcPr>
          <w:p w14:paraId="0B8E6163" w14:textId="77777777" w:rsidR="00C4796B" w:rsidRPr="00C4796B" w:rsidRDefault="00C4796B" w:rsidP="00C4796B">
            <w:pPr>
              <w:spacing w:line="240" w:lineRule="auto"/>
              <w:jc w:val="center"/>
              <w:rPr>
                <w:rFonts w:eastAsia="Times New Roman"/>
                <w:b/>
                <w:bCs/>
                <w:color w:val="000000"/>
              </w:rPr>
            </w:pPr>
            <w:r w:rsidRPr="00C4796B">
              <w:rPr>
                <w:rFonts w:eastAsia="Times New Roman"/>
                <w:b/>
                <w:bCs/>
                <w:color w:val="000000"/>
              </w:rPr>
              <w:t>Gold (g/t)</w:t>
            </w:r>
          </w:p>
        </w:tc>
      </w:tr>
      <w:tr w:rsidR="00C4796B" w:rsidRPr="00C4796B" w14:paraId="669734F4" w14:textId="77777777" w:rsidTr="0060741E">
        <w:trPr>
          <w:trHeight w:val="290"/>
        </w:trPr>
        <w:tc>
          <w:tcPr>
            <w:tcW w:w="1748" w:type="dxa"/>
            <w:tcBorders>
              <w:top w:val="single" w:sz="8" w:space="0" w:color="auto"/>
              <w:left w:val="single" w:sz="8" w:space="0" w:color="auto"/>
              <w:bottom w:val="single" w:sz="12" w:space="0" w:color="auto"/>
              <w:right w:val="nil"/>
            </w:tcBorders>
            <w:noWrap/>
            <w:vAlign w:val="center"/>
            <w:hideMark/>
          </w:tcPr>
          <w:p w14:paraId="1C934F6E"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25MN-020</w:t>
            </w:r>
          </w:p>
        </w:tc>
        <w:tc>
          <w:tcPr>
            <w:tcW w:w="1676" w:type="dxa"/>
            <w:tcBorders>
              <w:top w:val="single" w:sz="8" w:space="0" w:color="auto"/>
              <w:left w:val="nil"/>
              <w:bottom w:val="single" w:sz="12" w:space="0" w:color="auto"/>
              <w:right w:val="nil"/>
            </w:tcBorders>
            <w:noWrap/>
            <w:vAlign w:val="center"/>
            <w:hideMark/>
          </w:tcPr>
          <w:p w14:paraId="5A5AE223"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Reliance Trend</w:t>
            </w:r>
          </w:p>
        </w:tc>
        <w:tc>
          <w:tcPr>
            <w:tcW w:w="1636" w:type="dxa"/>
            <w:tcBorders>
              <w:top w:val="single" w:sz="8" w:space="0" w:color="auto"/>
              <w:left w:val="nil"/>
              <w:bottom w:val="single" w:sz="12" w:space="0" w:color="auto"/>
              <w:right w:val="nil"/>
            </w:tcBorders>
            <w:noWrap/>
            <w:vAlign w:val="center"/>
            <w:hideMark/>
          </w:tcPr>
          <w:p w14:paraId="6BA234E0"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162.95</w:t>
            </w:r>
          </w:p>
        </w:tc>
        <w:tc>
          <w:tcPr>
            <w:tcW w:w="1636" w:type="dxa"/>
            <w:tcBorders>
              <w:top w:val="single" w:sz="8" w:space="0" w:color="auto"/>
              <w:left w:val="nil"/>
              <w:bottom w:val="single" w:sz="12" w:space="0" w:color="auto"/>
              <w:right w:val="nil"/>
            </w:tcBorders>
            <w:noWrap/>
            <w:vAlign w:val="center"/>
            <w:hideMark/>
          </w:tcPr>
          <w:p w14:paraId="48D35F40"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199.92</w:t>
            </w:r>
          </w:p>
        </w:tc>
        <w:tc>
          <w:tcPr>
            <w:tcW w:w="1636" w:type="dxa"/>
            <w:tcBorders>
              <w:top w:val="single" w:sz="8" w:space="0" w:color="auto"/>
              <w:left w:val="nil"/>
              <w:bottom w:val="single" w:sz="12" w:space="0" w:color="auto"/>
              <w:right w:val="nil"/>
            </w:tcBorders>
            <w:noWrap/>
            <w:vAlign w:val="center"/>
            <w:hideMark/>
          </w:tcPr>
          <w:p w14:paraId="6FF9E70D"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36.97</w:t>
            </w:r>
          </w:p>
        </w:tc>
        <w:tc>
          <w:tcPr>
            <w:tcW w:w="1628" w:type="dxa"/>
            <w:tcBorders>
              <w:top w:val="single" w:sz="8" w:space="0" w:color="auto"/>
              <w:left w:val="nil"/>
              <w:bottom w:val="single" w:sz="12" w:space="0" w:color="auto"/>
              <w:right w:val="single" w:sz="8" w:space="0" w:color="auto"/>
            </w:tcBorders>
            <w:noWrap/>
            <w:vAlign w:val="center"/>
            <w:hideMark/>
          </w:tcPr>
          <w:p w14:paraId="6121BE87"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0.94</w:t>
            </w:r>
          </w:p>
        </w:tc>
      </w:tr>
      <w:tr w:rsidR="00C4796B" w:rsidRPr="00C4796B" w14:paraId="5172A16D" w14:textId="77777777" w:rsidTr="0060741E">
        <w:trPr>
          <w:trHeight w:val="290"/>
        </w:trPr>
        <w:tc>
          <w:tcPr>
            <w:tcW w:w="1748" w:type="dxa"/>
            <w:tcBorders>
              <w:top w:val="single" w:sz="12" w:space="0" w:color="auto"/>
              <w:left w:val="single" w:sz="8" w:space="0" w:color="auto"/>
              <w:bottom w:val="nil"/>
              <w:right w:val="nil"/>
            </w:tcBorders>
            <w:noWrap/>
            <w:vAlign w:val="center"/>
            <w:hideMark/>
          </w:tcPr>
          <w:p w14:paraId="469BBE34" w14:textId="77777777" w:rsidR="00C4796B" w:rsidRPr="00C4796B" w:rsidRDefault="00C4796B" w:rsidP="00533575">
            <w:pPr>
              <w:keepNext/>
              <w:keepLines/>
              <w:spacing w:line="240" w:lineRule="auto"/>
              <w:jc w:val="center"/>
              <w:rPr>
                <w:rFonts w:eastAsia="Times New Roman"/>
                <w:color w:val="000000"/>
              </w:rPr>
            </w:pPr>
            <w:r w:rsidRPr="00C4796B">
              <w:rPr>
                <w:rFonts w:eastAsia="Times New Roman"/>
                <w:color w:val="000000"/>
              </w:rPr>
              <w:t>25MN-021</w:t>
            </w:r>
          </w:p>
        </w:tc>
        <w:tc>
          <w:tcPr>
            <w:tcW w:w="1676" w:type="dxa"/>
            <w:tcBorders>
              <w:top w:val="single" w:sz="12" w:space="0" w:color="auto"/>
              <w:left w:val="nil"/>
              <w:bottom w:val="nil"/>
              <w:right w:val="nil"/>
            </w:tcBorders>
            <w:noWrap/>
            <w:vAlign w:val="center"/>
            <w:hideMark/>
          </w:tcPr>
          <w:p w14:paraId="5FDC9A78" w14:textId="77777777" w:rsidR="00C4796B" w:rsidRPr="00C4796B" w:rsidRDefault="00C4796B" w:rsidP="00533575">
            <w:pPr>
              <w:keepNext/>
              <w:keepLines/>
              <w:spacing w:line="240" w:lineRule="auto"/>
              <w:jc w:val="center"/>
              <w:rPr>
                <w:rFonts w:eastAsia="Times New Roman"/>
                <w:color w:val="000000"/>
              </w:rPr>
            </w:pPr>
            <w:r w:rsidRPr="00C4796B">
              <w:rPr>
                <w:rFonts w:eastAsia="Times New Roman"/>
                <w:color w:val="000000"/>
              </w:rPr>
              <w:t>Mustang Hill</w:t>
            </w:r>
          </w:p>
        </w:tc>
        <w:tc>
          <w:tcPr>
            <w:tcW w:w="1636" w:type="dxa"/>
            <w:tcBorders>
              <w:top w:val="single" w:sz="12" w:space="0" w:color="auto"/>
              <w:left w:val="nil"/>
              <w:bottom w:val="nil"/>
              <w:right w:val="nil"/>
            </w:tcBorders>
            <w:noWrap/>
            <w:vAlign w:val="center"/>
            <w:hideMark/>
          </w:tcPr>
          <w:p w14:paraId="2D1ED5AC"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76.69</w:t>
            </w:r>
          </w:p>
        </w:tc>
        <w:tc>
          <w:tcPr>
            <w:tcW w:w="1636" w:type="dxa"/>
            <w:tcBorders>
              <w:top w:val="single" w:sz="12" w:space="0" w:color="auto"/>
              <w:left w:val="nil"/>
              <w:bottom w:val="nil"/>
              <w:right w:val="nil"/>
            </w:tcBorders>
            <w:noWrap/>
            <w:vAlign w:val="center"/>
            <w:hideMark/>
          </w:tcPr>
          <w:p w14:paraId="12F7E66D"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93.57</w:t>
            </w:r>
          </w:p>
        </w:tc>
        <w:tc>
          <w:tcPr>
            <w:tcW w:w="1636" w:type="dxa"/>
            <w:tcBorders>
              <w:top w:val="single" w:sz="12" w:space="0" w:color="auto"/>
              <w:left w:val="nil"/>
              <w:bottom w:val="nil"/>
              <w:right w:val="nil"/>
            </w:tcBorders>
            <w:noWrap/>
            <w:vAlign w:val="center"/>
            <w:hideMark/>
          </w:tcPr>
          <w:p w14:paraId="4B4FAD40"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16.89</w:t>
            </w:r>
          </w:p>
        </w:tc>
        <w:tc>
          <w:tcPr>
            <w:tcW w:w="1628" w:type="dxa"/>
            <w:tcBorders>
              <w:top w:val="single" w:sz="12" w:space="0" w:color="auto"/>
              <w:left w:val="nil"/>
              <w:bottom w:val="nil"/>
              <w:right w:val="single" w:sz="8" w:space="0" w:color="auto"/>
            </w:tcBorders>
            <w:noWrap/>
            <w:vAlign w:val="center"/>
            <w:hideMark/>
          </w:tcPr>
          <w:p w14:paraId="4AB65F4B"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0.48</w:t>
            </w:r>
          </w:p>
        </w:tc>
      </w:tr>
      <w:tr w:rsidR="00C4796B" w:rsidRPr="00C4796B" w14:paraId="397C6E28" w14:textId="77777777" w:rsidTr="00C4796B">
        <w:trPr>
          <w:trHeight w:val="290"/>
        </w:trPr>
        <w:tc>
          <w:tcPr>
            <w:tcW w:w="1748" w:type="dxa"/>
            <w:tcBorders>
              <w:top w:val="nil"/>
              <w:left w:val="single" w:sz="8" w:space="0" w:color="auto"/>
              <w:bottom w:val="nil"/>
              <w:right w:val="nil"/>
            </w:tcBorders>
            <w:noWrap/>
            <w:vAlign w:val="center"/>
            <w:hideMark/>
          </w:tcPr>
          <w:p w14:paraId="35A7C2FE"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7FF04F6E" w14:textId="77777777" w:rsidR="00C4796B" w:rsidRPr="00C4796B" w:rsidRDefault="00C4796B" w:rsidP="00533575">
            <w:pPr>
              <w:keepNext/>
              <w:keepLines/>
              <w:spacing w:line="240" w:lineRule="auto"/>
              <w:jc w:val="center"/>
              <w:rPr>
                <w:rFonts w:eastAsia="Times New Roman"/>
                <w:color w:val="000000"/>
              </w:rPr>
            </w:pPr>
            <w:r w:rsidRPr="00C4796B">
              <w:rPr>
                <w:rFonts w:eastAsia="Times New Roman"/>
                <w:color w:val="000000"/>
              </w:rPr>
              <w:t>225° / -45°</w:t>
            </w:r>
          </w:p>
        </w:tc>
        <w:tc>
          <w:tcPr>
            <w:tcW w:w="1636" w:type="dxa"/>
            <w:tcBorders>
              <w:top w:val="nil"/>
              <w:left w:val="nil"/>
              <w:bottom w:val="nil"/>
              <w:right w:val="nil"/>
            </w:tcBorders>
            <w:noWrap/>
            <w:vAlign w:val="center"/>
            <w:hideMark/>
          </w:tcPr>
          <w:p w14:paraId="412421E7"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103.17</w:t>
            </w:r>
          </w:p>
        </w:tc>
        <w:tc>
          <w:tcPr>
            <w:tcW w:w="1636" w:type="dxa"/>
            <w:tcBorders>
              <w:top w:val="nil"/>
              <w:left w:val="nil"/>
              <w:bottom w:val="nil"/>
              <w:right w:val="nil"/>
            </w:tcBorders>
            <w:noWrap/>
            <w:vAlign w:val="center"/>
            <w:hideMark/>
          </w:tcPr>
          <w:p w14:paraId="223566F9"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125.67</w:t>
            </w:r>
          </w:p>
        </w:tc>
        <w:tc>
          <w:tcPr>
            <w:tcW w:w="1636" w:type="dxa"/>
            <w:tcBorders>
              <w:top w:val="nil"/>
              <w:left w:val="nil"/>
              <w:bottom w:val="nil"/>
              <w:right w:val="nil"/>
            </w:tcBorders>
            <w:noWrap/>
            <w:vAlign w:val="center"/>
            <w:hideMark/>
          </w:tcPr>
          <w:p w14:paraId="75BC1FF1"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22.49</w:t>
            </w:r>
          </w:p>
        </w:tc>
        <w:tc>
          <w:tcPr>
            <w:tcW w:w="1628" w:type="dxa"/>
            <w:tcBorders>
              <w:top w:val="nil"/>
              <w:left w:val="nil"/>
              <w:bottom w:val="nil"/>
              <w:right w:val="single" w:sz="8" w:space="0" w:color="auto"/>
            </w:tcBorders>
            <w:noWrap/>
            <w:vAlign w:val="center"/>
            <w:hideMark/>
          </w:tcPr>
          <w:p w14:paraId="4D225750"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0.26</w:t>
            </w:r>
          </w:p>
        </w:tc>
      </w:tr>
      <w:tr w:rsidR="00C4796B" w:rsidRPr="00C4796B" w14:paraId="485CDF92" w14:textId="77777777" w:rsidTr="00C4796B">
        <w:trPr>
          <w:trHeight w:val="290"/>
        </w:trPr>
        <w:tc>
          <w:tcPr>
            <w:tcW w:w="1748" w:type="dxa"/>
            <w:tcBorders>
              <w:top w:val="nil"/>
              <w:left w:val="single" w:sz="8" w:space="0" w:color="auto"/>
              <w:bottom w:val="nil"/>
              <w:right w:val="nil"/>
            </w:tcBorders>
            <w:noWrap/>
            <w:vAlign w:val="center"/>
            <w:hideMark/>
          </w:tcPr>
          <w:p w14:paraId="759AC30E"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4D39D7B6"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3F15430D"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155.63</w:t>
            </w:r>
          </w:p>
        </w:tc>
        <w:tc>
          <w:tcPr>
            <w:tcW w:w="1636" w:type="dxa"/>
            <w:tcBorders>
              <w:top w:val="nil"/>
              <w:left w:val="nil"/>
              <w:bottom w:val="nil"/>
              <w:right w:val="nil"/>
            </w:tcBorders>
            <w:noWrap/>
            <w:vAlign w:val="center"/>
            <w:hideMark/>
          </w:tcPr>
          <w:p w14:paraId="2DBA0CB6"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172.82</w:t>
            </w:r>
          </w:p>
        </w:tc>
        <w:tc>
          <w:tcPr>
            <w:tcW w:w="1636" w:type="dxa"/>
            <w:tcBorders>
              <w:top w:val="nil"/>
              <w:left w:val="nil"/>
              <w:bottom w:val="nil"/>
              <w:right w:val="nil"/>
            </w:tcBorders>
            <w:noWrap/>
            <w:vAlign w:val="center"/>
            <w:hideMark/>
          </w:tcPr>
          <w:p w14:paraId="5586646E"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17.19</w:t>
            </w:r>
          </w:p>
        </w:tc>
        <w:tc>
          <w:tcPr>
            <w:tcW w:w="1628" w:type="dxa"/>
            <w:tcBorders>
              <w:top w:val="nil"/>
              <w:left w:val="nil"/>
              <w:bottom w:val="nil"/>
              <w:right w:val="single" w:sz="8" w:space="0" w:color="auto"/>
            </w:tcBorders>
            <w:noWrap/>
            <w:vAlign w:val="center"/>
            <w:hideMark/>
          </w:tcPr>
          <w:p w14:paraId="1FC7A049"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0.74</w:t>
            </w:r>
          </w:p>
        </w:tc>
      </w:tr>
      <w:tr w:rsidR="00C4796B" w:rsidRPr="00C4796B" w14:paraId="1559CFCA" w14:textId="77777777" w:rsidTr="00C4796B">
        <w:trPr>
          <w:trHeight w:val="290"/>
        </w:trPr>
        <w:tc>
          <w:tcPr>
            <w:tcW w:w="1748" w:type="dxa"/>
            <w:tcBorders>
              <w:top w:val="nil"/>
              <w:left w:val="single" w:sz="8" w:space="0" w:color="auto"/>
              <w:bottom w:val="nil"/>
              <w:right w:val="nil"/>
            </w:tcBorders>
            <w:noWrap/>
            <w:vAlign w:val="center"/>
            <w:hideMark/>
          </w:tcPr>
          <w:p w14:paraId="2DF9AFB8"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5ED6EADA" w14:textId="77777777" w:rsidR="00C4796B" w:rsidRPr="00C4796B" w:rsidRDefault="00C4796B" w:rsidP="00533575">
            <w:pPr>
              <w:keepNext/>
              <w:keepLines/>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75FC9232"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176.78</w:t>
            </w:r>
          </w:p>
        </w:tc>
        <w:tc>
          <w:tcPr>
            <w:tcW w:w="1636" w:type="dxa"/>
            <w:tcBorders>
              <w:top w:val="nil"/>
              <w:left w:val="nil"/>
              <w:bottom w:val="nil"/>
              <w:right w:val="nil"/>
            </w:tcBorders>
            <w:noWrap/>
            <w:vAlign w:val="center"/>
            <w:hideMark/>
          </w:tcPr>
          <w:p w14:paraId="758182AB"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194.92</w:t>
            </w:r>
          </w:p>
        </w:tc>
        <w:tc>
          <w:tcPr>
            <w:tcW w:w="1636" w:type="dxa"/>
            <w:tcBorders>
              <w:top w:val="nil"/>
              <w:left w:val="nil"/>
              <w:bottom w:val="nil"/>
              <w:right w:val="nil"/>
            </w:tcBorders>
            <w:noWrap/>
            <w:vAlign w:val="center"/>
            <w:hideMark/>
          </w:tcPr>
          <w:p w14:paraId="047ED9BA"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18.14</w:t>
            </w:r>
          </w:p>
        </w:tc>
        <w:tc>
          <w:tcPr>
            <w:tcW w:w="1628" w:type="dxa"/>
            <w:tcBorders>
              <w:top w:val="nil"/>
              <w:left w:val="nil"/>
              <w:bottom w:val="nil"/>
              <w:right w:val="single" w:sz="8" w:space="0" w:color="auto"/>
            </w:tcBorders>
            <w:noWrap/>
            <w:vAlign w:val="center"/>
            <w:hideMark/>
          </w:tcPr>
          <w:p w14:paraId="117374F0"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1.52</w:t>
            </w:r>
          </w:p>
        </w:tc>
      </w:tr>
      <w:tr w:rsidR="00C4796B" w:rsidRPr="00C4796B" w14:paraId="45FFB933" w14:textId="77777777" w:rsidTr="0060741E">
        <w:trPr>
          <w:trHeight w:val="290"/>
        </w:trPr>
        <w:tc>
          <w:tcPr>
            <w:tcW w:w="1748" w:type="dxa"/>
            <w:tcBorders>
              <w:top w:val="nil"/>
              <w:left w:val="single" w:sz="8" w:space="0" w:color="auto"/>
              <w:bottom w:val="single" w:sz="12" w:space="0" w:color="auto"/>
              <w:right w:val="nil"/>
            </w:tcBorders>
            <w:noWrap/>
            <w:vAlign w:val="center"/>
            <w:hideMark/>
          </w:tcPr>
          <w:p w14:paraId="31853F7E" w14:textId="77777777" w:rsidR="00C4796B" w:rsidRPr="00C4796B" w:rsidRDefault="00C4796B" w:rsidP="00533575">
            <w:pPr>
              <w:keepNext/>
              <w:keepLines/>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single" w:sz="12" w:space="0" w:color="auto"/>
              <w:right w:val="nil"/>
            </w:tcBorders>
            <w:noWrap/>
            <w:vAlign w:val="center"/>
            <w:hideMark/>
          </w:tcPr>
          <w:p w14:paraId="5FE186B5" w14:textId="77777777" w:rsidR="00C4796B" w:rsidRPr="00C4796B" w:rsidRDefault="00C4796B" w:rsidP="00533575">
            <w:pPr>
              <w:keepNext/>
              <w:keepLines/>
              <w:spacing w:line="240" w:lineRule="auto"/>
              <w:jc w:val="center"/>
              <w:rPr>
                <w:rFonts w:eastAsia="Times New Roman"/>
                <w:i/>
                <w:iCs/>
                <w:color w:val="000000"/>
              </w:rPr>
            </w:pPr>
          </w:p>
        </w:tc>
        <w:tc>
          <w:tcPr>
            <w:tcW w:w="1636" w:type="dxa"/>
            <w:tcBorders>
              <w:top w:val="nil"/>
              <w:left w:val="nil"/>
              <w:bottom w:val="single" w:sz="12" w:space="0" w:color="auto"/>
              <w:right w:val="nil"/>
            </w:tcBorders>
            <w:noWrap/>
            <w:vAlign w:val="center"/>
            <w:hideMark/>
          </w:tcPr>
          <w:p w14:paraId="69F9C7F6"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181.48</w:t>
            </w:r>
          </w:p>
        </w:tc>
        <w:tc>
          <w:tcPr>
            <w:tcW w:w="1636" w:type="dxa"/>
            <w:tcBorders>
              <w:top w:val="nil"/>
              <w:left w:val="nil"/>
              <w:bottom w:val="single" w:sz="12" w:space="0" w:color="auto"/>
              <w:right w:val="nil"/>
            </w:tcBorders>
            <w:noWrap/>
            <w:vAlign w:val="center"/>
            <w:hideMark/>
          </w:tcPr>
          <w:p w14:paraId="2E790C06"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190.21</w:t>
            </w:r>
          </w:p>
        </w:tc>
        <w:tc>
          <w:tcPr>
            <w:tcW w:w="1636" w:type="dxa"/>
            <w:tcBorders>
              <w:top w:val="nil"/>
              <w:left w:val="nil"/>
              <w:bottom w:val="single" w:sz="12" w:space="0" w:color="auto"/>
              <w:right w:val="nil"/>
            </w:tcBorders>
            <w:noWrap/>
            <w:vAlign w:val="center"/>
            <w:hideMark/>
          </w:tcPr>
          <w:p w14:paraId="74CF0BFB"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8.73</w:t>
            </w:r>
          </w:p>
        </w:tc>
        <w:tc>
          <w:tcPr>
            <w:tcW w:w="1628" w:type="dxa"/>
            <w:tcBorders>
              <w:top w:val="nil"/>
              <w:left w:val="nil"/>
              <w:bottom w:val="single" w:sz="12" w:space="0" w:color="auto"/>
              <w:right w:val="single" w:sz="8" w:space="0" w:color="auto"/>
            </w:tcBorders>
            <w:noWrap/>
            <w:vAlign w:val="center"/>
            <w:hideMark/>
          </w:tcPr>
          <w:p w14:paraId="460B992A" w14:textId="77777777" w:rsidR="00C4796B" w:rsidRPr="007E53FB" w:rsidRDefault="00C4796B" w:rsidP="0053357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2.90</w:t>
            </w:r>
          </w:p>
        </w:tc>
      </w:tr>
      <w:tr w:rsidR="00C4796B" w:rsidRPr="00C4796B" w14:paraId="463B002D" w14:textId="77777777" w:rsidTr="0060741E">
        <w:trPr>
          <w:trHeight w:val="290"/>
        </w:trPr>
        <w:tc>
          <w:tcPr>
            <w:tcW w:w="1748" w:type="dxa"/>
            <w:tcBorders>
              <w:top w:val="single" w:sz="12" w:space="0" w:color="auto"/>
              <w:left w:val="single" w:sz="8" w:space="0" w:color="auto"/>
              <w:bottom w:val="nil"/>
              <w:right w:val="nil"/>
            </w:tcBorders>
            <w:noWrap/>
            <w:vAlign w:val="center"/>
            <w:hideMark/>
          </w:tcPr>
          <w:p w14:paraId="1A12DBC7" w14:textId="77777777" w:rsidR="00C4796B" w:rsidRPr="00C4796B" w:rsidRDefault="00C4796B" w:rsidP="00C14195">
            <w:pPr>
              <w:keepNext/>
              <w:keepLines/>
              <w:spacing w:line="240" w:lineRule="auto"/>
              <w:jc w:val="center"/>
              <w:rPr>
                <w:rFonts w:eastAsia="Times New Roman"/>
                <w:color w:val="000000"/>
              </w:rPr>
            </w:pPr>
            <w:r w:rsidRPr="00C4796B">
              <w:rPr>
                <w:rFonts w:eastAsia="Times New Roman"/>
                <w:color w:val="000000"/>
              </w:rPr>
              <w:t>25MN-022</w:t>
            </w:r>
          </w:p>
        </w:tc>
        <w:tc>
          <w:tcPr>
            <w:tcW w:w="1676" w:type="dxa"/>
            <w:tcBorders>
              <w:top w:val="single" w:sz="12" w:space="0" w:color="auto"/>
              <w:left w:val="nil"/>
              <w:bottom w:val="nil"/>
              <w:right w:val="nil"/>
            </w:tcBorders>
            <w:noWrap/>
            <w:vAlign w:val="center"/>
            <w:hideMark/>
          </w:tcPr>
          <w:p w14:paraId="608631C4" w14:textId="77777777" w:rsidR="00C4796B" w:rsidRPr="00C4796B" w:rsidRDefault="00C4796B" w:rsidP="00C14195">
            <w:pPr>
              <w:keepNext/>
              <w:keepLines/>
              <w:spacing w:line="240" w:lineRule="auto"/>
              <w:jc w:val="center"/>
              <w:rPr>
                <w:rFonts w:eastAsia="Times New Roman"/>
                <w:color w:val="000000"/>
              </w:rPr>
            </w:pPr>
            <w:r w:rsidRPr="00C4796B">
              <w:rPr>
                <w:rFonts w:eastAsia="Times New Roman"/>
                <w:color w:val="000000"/>
              </w:rPr>
              <w:t>Mustang Hill</w:t>
            </w:r>
          </w:p>
        </w:tc>
        <w:tc>
          <w:tcPr>
            <w:tcW w:w="1636" w:type="dxa"/>
            <w:tcBorders>
              <w:top w:val="single" w:sz="12" w:space="0" w:color="auto"/>
              <w:left w:val="nil"/>
              <w:bottom w:val="nil"/>
              <w:right w:val="nil"/>
            </w:tcBorders>
            <w:noWrap/>
            <w:vAlign w:val="center"/>
            <w:hideMark/>
          </w:tcPr>
          <w:p w14:paraId="17300931"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119.66</w:t>
            </w:r>
          </w:p>
        </w:tc>
        <w:tc>
          <w:tcPr>
            <w:tcW w:w="1636" w:type="dxa"/>
            <w:tcBorders>
              <w:top w:val="single" w:sz="12" w:space="0" w:color="auto"/>
              <w:left w:val="nil"/>
              <w:bottom w:val="nil"/>
              <w:right w:val="nil"/>
            </w:tcBorders>
            <w:noWrap/>
            <w:vAlign w:val="center"/>
            <w:hideMark/>
          </w:tcPr>
          <w:p w14:paraId="28DD603D"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135.38</w:t>
            </w:r>
          </w:p>
        </w:tc>
        <w:tc>
          <w:tcPr>
            <w:tcW w:w="1636" w:type="dxa"/>
            <w:tcBorders>
              <w:top w:val="single" w:sz="12" w:space="0" w:color="auto"/>
              <w:left w:val="nil"/>
              <w:bottom w:val="nil"/>
              <w:right w:val="nil"/>
            </w:tcBorders>
            <w:noWrap/>
            <w:vAlign w:val="center"/>
            <w:hideMark/>
          </w:tcPr>
          <w:p w14:paraId="4FC1C9EB"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15.71</w:t>
            </w:r>
          </w:p>
        </w:tc>
        <w:tc>
          <w:tcPr>
            <w:tcW w:w="1628" w:type="dxa"/>
            <w:tcBorders>
              <w:top w:val="single" w:sz="12" w:space="0" w:color="auto"/>
              <w:left w:val="nil"/>
              <w:bottom w:val="nil"/>
              <w:right w:val="single" w:sz="8" w:space="0" w:color="auto"/>
            </w:tcBorders>
            <w:noWrap/>
            <w:vAlign w:val="center"/>
            <w:hideMark/>
          </w:tcPr>
          <w:p w14:paraId="586C1A54"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0.46</w:t>
            </w:r>
          </w:p>
        </w:tc>
      </w:tr>
      <w:tr w:rsidR="00C4796B" w:rsidRPr="00C4796B" w14:paraId="3B7DAB44" w14:textId="77777777" w:rsidTr="00C4796B">
        <w:trPr>
          <w:trHeight w:val="290"/>
        </w:trPr>
        <w:tc>
          <w:tcPr>
            <w:tcW w:w="1748" w:type="dxa"/>
            <w:tcBorders>
              <w:top w:val="nil"/>
              <w:left w:val="single" w:sz="8" w:space="0" w:color="auto"/>
              <w:bottom w:val="nil"/>
              <w:right w:val="nil"/>
            </w:tcBorders>
            <w:noWrap/>
            <w:vAlign w:val="center"/>
            <w:hideMark/>
          </w:tcPr>
          <w:p w14:paraId="60829B42"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0D8B15CF" w14:textId="77777777" w:rsidR="00C4796B" w:rsidRPr="00C4796B" w:rsidRDefault="00C4796B" w:rsidP="00C14195">
            <w:pPr>
              <w:keepNext/>
              <w:keepLines/>
              <w:spacing w:line="240" w:lineRule="auto"/>
              <w:jc w:val="center"/>
              <w:rPr>
                <w:rFonts w:eastAsia="Times New Roman"/>
                <w:color w:val="000000"/>
              </w:rPr>
            </w:pPr>
            <w:r w:rsidRPr="00C4796B">
              <w:rPr>
                <w:rFonts w:eastAsia="Times New Roman"/>
                <w:color w:val="000000"/>
              </w:rPr>
              <w:t>155° / -45°</w:t>
            </w:r>
          </w:p>
        </w:tc>
        <w:tc>
          <w:tcPr>
            <w:tcW w:w="1636" w:type="dxa"/>
            <w:tcBorders>
              <w:top w:val="nil"/>
              <w:left w:val="nil"/>
              <w:bottom w:val="nil"/>
              <w:right w:val="nil"/>
            </w:tcBorders>
            <w:noWrap/>
            <w:vAlign w:val="center"/>
            <w:hideMark/>
          </w:tcPr>
          <w:p w14:paraId="2BD07014"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168.86</w:t>
            </w:r>
          </w:p>
        </w:tc>
        <w:tc>
          <w:tcPr>
            <w:tcW w:w="1636" w:type="dxa"/>
            <w:tcBorders>
              <w:top w:val="nil"/>
              <w:left w:val="nil"/>
              <w:bottom w:val="nil"/>
              <w:right w:val="nil"/>
            </w:tcBorders>
            <w:noWrap/>
            <w:vAlign w:val="center"/>
            <w:hideMark/>
          </w:tcPr>
          <w:p w14:paraId="76688CD9"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172.09</w:t>
            </w:r>
          </w:p>
        </w:tc>
        <w:tc>
          <w:tcPr>
            <w:tcW w:w="1636" w:type="dxa"/>
            <w:tcBorders>
              <w:top w:val="nil"/>
              <w:left w:val="nil"/>
              <w:bottom w:val="nil"/>
              <w:right w:val="nil"/>
            </w:tcBorders>
            <w:noWrap/>
            <w:vAlign w:val="center"/>
            <w:hideMark/>
          </w:tcPr>
          <w:p w14:paraId="23F05C04"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3.23</w:t>
            </w:r>
          </w:p>
        </w:tc>
        <w:tc>
          <w:tcPr>
            <w:tcW w:w="1628" w:type="dxa"/>
            <w:tcBorders>
              <w:top w:val="nil"/>
              <w:left w:val="nil"/>
              <w:bottom w:val="nil"/>
              <w:right w:val="single" w:sz="8" w:space="0" w:color="auto"/>
            </w:tcBorders>
            <w:noWrap/>
            <w:vAlign w:val="center"/>
            <w:hideMark/>
          </w:tcPr>
          <w:p w14:paraId="5706D09B"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9.94</w:t>
            </w:r>
          </w:p>
        </w:tc>
      </w:tr>
      <w:tr w:rsidR="00C4796B" w:rsidRPr="00C4796B" w14:paraId="764A444F" w14:textId="77777777" w:rsidTr="00C4796B">
        <w:trPr>
          <w:trHeight w:val="290"/>
        </w:trPr>
        <w:tc>
          <w:tcPr>
            <w:tcW w:w="1748" w:type="dxa"/>
            <w:tcBorders>
              <w:top w:val="nil"/>
              <w:left w:val="single" w:sz="8" w:space="0" w:color="auto"/>
              <w:bottom w:val="nil"/>
              <w:right w:val="nil"/>
            </w:tcBorders>
            <w:noWrap/>
            <w:vAlign w:val="center"/>
            <w:hideMark/>
          </w:tcPr>
          <w:p w14:paraId="5F202B30" w14:textId="77777777" w:rsidR="00C4796B" w:rsidRPr="00C4796B" w:rsidRDefault="00C4796B" w:rsidP="00C14195">
            <w:pPr>
              <w:keepNext/>
              <w:keepLines/>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7025C852" w14:textId="77777777" w:rsidR="00C4796B" w:rsidRPr="00C4796B" w:rsidRDefault="00C4796B" w:rsidP="00C14195">
            <w:pPr>
              <w:keepNext/>
              <w:keepLines/>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7482E39A"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168.86</w:t>
            </w:r>
          </w:p>
        </w:tc>
        <w:tc>
          <w:tcPr>
            <w:tcW w:w="1636" w:type="dxa"/>
            <w:tcBorders>
              <w:top w:val="nil"/>
              <w:left w:val="nil"/>
              <w:bottom w:val="nil"/>
              <w:right w:val="nil"/>
            </w:tcBorders>
            <w:noWrap/>
            <w:vAlign w:val="center"/>
            <w:hideMark/>
          </w:tcPr>
          <w:p w14:paraId="5C6287D9"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169.29</w:t>
            </w:r>
          </w:p>
        </w:tc>
        <w:tc>
          <w:tcPr>
            <w:tcW w:w="1636" w:type="dxa"/>
            <w:tcBorders>
              <w:top w:val="nil"/>
              <w:left w:val="nil"/>
              <w:bottom w:val="nil"/>
              <w:right w:val="nil"/>
            </w:tcBorders>
            <w:noWrap/>
            <w:vAlign w:val="center"/>
            <w:hideMark/>
          </w:tcPr>
          <w:p w14:paraId="4B02883E"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0.43</w:t>
            </w:r>
          </w:p>
        </w:tc>
        <w:tc>
          <w:tcPr>
            <w:tcW w:w="1628" w:type="dxa"/>
            <w:tcBorders>
              <w:top w:val="nil"/>
              <w:left w:val="nil"/>
              <w:bottom w:val="nil"/>
              <w:right w:val="single" w:sz="8" w:space="0" w:color="auto"/>
            </w:tcBorders>
            <w:noWrap/>
            <w:vAlign w:val="center"/>
            <w:hideMark/>
          </w:tcPr>
          <w:p w14:paraId="3B318864" w14:textId="77777777" w:rsidR="00C4796B" w:rsidRPr="007E53FB" w:rsidRDefault="00C4796B" w:rsidP="00C14195">
            <w:pPr>
              <w:keepNext/>
              <w:keepLines/>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159.94</w:t>
            </w:r>
          </w:p>
        </w:tc>
      </w:tr>
      <w:tr w:rsidR="00C4796B" w:rsidRPr="00C4796B" w14:paraId="69025984" w14:textId="77777777" w:rsidTr="00C4796B">
        <w:trPr>
          <w:trHeight w:val="290"/>
        </w:trPr>
        <w:tc>
          <w:tcPr>
            <w:tcW w:w="1748" w:type="dxa"/>
            <w:tcBorders>
              <w:top w:val="nil"/>
              <w:left w:val="single" w:sz="8" w:space="0" w:color="auto"/>
              <w:bottom w:val="nil"/>
              <w:right w:val="nil"/>
            </w:tcBorders>
            <w:noWrap/>
            <w:vAlign w:val="center"/>
            <w:hideMark/>
          </w:tcPr>
          <w:p w14:paraId="1A2B7EB1" w14:textId="77777777" w:rsidR="00C4796B" w:rsidRPr="00C4796B" w:rsidRDefault="00C4796B" w:rsidP="00C14195">
            <w:pPr>
              <w:keepNext/>
              <w:keepLines/>
              <w:spacing w:line="240" w:lineRule="auto"/>
              <w:jc w:val="center"/>
              <w:rPr>
                <w:rFonts w:eastAsia="Times New Roman"/>
                <w:i/>
                <w:iCs/>
                <w:color w:val="000000"/>
              </w:rPr>
            </w:pPr>
            <w:r w:rsidRPr="00C4796B">
              <w:rPr>
                <w:rFonts w:eastAsia="Times New Roman"/>
                <w:i/>
                <w:iCs/>
                <w:color w:val="000000"/>
              </w:rPr>
              <w:t> </w:t>
            </w:r>
          </w:p>
        </w:tc>
        <w:tc>
          <w:tcPr>
            <w:tcW w:w="1676" w:type="dxa"/>
            <w:tcBorders>
              <w:top w:val="nil"/>
              <w:left w:val="nil"/>
              <w:bottom w:val="nil"/>
              <w:right w:val="nil"/>
            </w:tcBorders>
            <w:noWrap/>
            <w:vAlign w:val="center"/>
            <w:hideMark/>
          </w:tcPr>
          <w:p w14:paraId="11A806AC" w14:textId="77777777" w:rsidR="00C4796B" w:rsidRPr="00C4796B" w:rsidRDefault="00C4796B" w:rsidP="00C14195">
            <w:pPr>
              <w:keepNext/>
              <w:keepLines/>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7614BB10"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177.39</w:t>
            </w:r>
          </w:p>
        </w:tc>
        <w:tc>
          <w:tcPr>
            <w:tcW w:w="1636" w:type="dxa"/>
            <w:tcBorders>
              <w:top w:val="nil"/>
              <w:left w:val="nil"/>
              <w:bottom w:val="nil"/>
              <w:right w:val="nil"/>
            </w:tcBorders>
            <w:noWrap/>
            <w:vAlign w:val="center"/>
            <w:hideMark/>
          </w:tcPr>
          <w:p w14:paraId="14595910"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180.11</w:t>
            </w:r>
          </w:p>
        </w:tc>
        <w:tc>
          <w:tcPr>
            <w:tcW w:w="1636" w:type="dxa"/>
            <w:tcBorders>
              <w:top w:val="nil"/>
              <w:left w:val="nil"/>
              <w:bottom w:val="nil"/>
              <w:right w:val="nil"/>
            </w:tcBorders>
            <w:noWrap/>
            <w:vAlign w:val="center"/>
            <w:hideMark/>
          </w:tcPr>
          <w:p w14:paraId="42BA8537"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2.71</w:t>
            </w:r>
          </w:p>
        </w:tc>
        <w:tc>
          <w:tcPr>
            <w:tcW w:w="1628" w:type="dxa"/>
            <w:tcBorders>
              <w:top w:val="nil"/>
              <w:left w:val="nil"/>
              <w:bottom w:val="nil"/>
              <w:right w:val="single" w:sz="8" w:space="0" w:color="auto"/>
            </w:tcBorders>
            <w:noWrap/>
            <w:vAlign w:val="center"/>
            <w:hideMark/>
          </w:tcPr>
          <w:p w14:paraId="089576FC"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10.18</w:t>
            </w:r>
          </w:p>
        </w:tc>
      </w:tr>
      <w:tr w:rsidR="00C4796B" w:rsidRPr="00C4796B" w14:paraId="400A8849" w14:textId="77777777" w:rsidTr="00C4796B">
        <w:trPr>
          <w:trHeight w:val="290"/>
        </w:trPr>
        <w:tc>
          <w:tcPr>
            <w:tcW w:w="1748" w:type="dxa"/>
            <w:tcBorders>
              <w:top w:val="nil"/>
              <w:left w:val="single" w:sz="8" w:space="0" w:color="auto"/>
              <w:bottom w:val="nil"/>
              <w:right w:val="nil"/>
            </w:tcBorders>
            <w:noWrap/>
            <w:vAlign w:val="center"/>
            <w:hideMark/>
          </w:tcPr>
          <w:p w14:paraId="1A311118" w14:textId="77777777" w:rsidR="00C4796B" w:rsidRPr="00C4796B" w:rsidRDefault="00C4796B" w:rsidP="00C14195">
            <w:pPr>
              <w:keepNext/>
              <w:keepLines/>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67698E06" w14:textId="77777777" w:rsidR="00C4796B" w:rsidRPr="00C4796B" w:rsidRDefault="00C4796B" w:rsidP="00C14195">
            <w:pPr>
              <w:keepNext/>
              <w:keepLines/>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577A60E2"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177.39</w:t>
            </w:r>
          </w:p>
        </w:tc>
        <w:tc>
          <w:tcPr>
            <w:tcW w:w="1636" w:type="dxa"/>
            <w:tcBorders>
              <w:top w:val="nil"/>
              <w:left w:val="nil"/>
              <w:bottom w:val="nil"/>
              <w:right w:val="nil"/>
            </w:tcBorders>
            <w:noWrap/>
            <w:vAlign w:val="center"/>
            <w:hideMark/>
          </w:tcPr>
          <w:p w14:paraId="0CE39CBD"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178.26</w:t>
            </w:r>
          </w:p>
        </w:tc>
        <w:tc>
          <w:tcPr>
            <w:tcW w:w="1636" w:type="dxa"/>
            <w:tcBorders>
              <w:top w:val="nil"/>
              <w:left w:val="nil"/>
              <w:bottom w:val="nil"/>
              <w:right w:val="nil"/>
            </w:tcBorders>
            <w:noWrap/>
            <w:vAlign w:val="center"/>
            <w:hideMark/>
          </w:tcPr>
          <w:p w14:paraId="1300C1F3"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0.87</w:t>
            </w:r>
          </w:p>
        </w:tc>
        <w:tc>
          <w:tcPr>
            <w:tcW w:w="1628" w:type="dxa"/>
            <w:tcBorders>
              <w:top w:val="nil"/>
              <w:left w:val="nil"/>
              <w:bottom w:val="nil"/>
              <w:right w:val="single" w:sz="8" w:space="0" w:color="auto"/>
            </w:tcBorders>
            <w:noWrap/>
            <w:vAlign w:val="center"/>
            <w:hideMark/>
          </w:tcPr>
          <w:p w14:paraId="1F1D3F1A"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11.77</w:t>
            </w:r>
          </w:p>
        </w:tc>
      </w:tr>
      <w:tr w:rsidR="00C4796B" w:rsidRPr="00C4796B" w14:paraId="01270F95" w14:textId="77777777" w:rsidTr="00C4796B">
        <w:trPr>
          <w:trHeight w:val="290"/>
        </w:trPr>
        <w:tc>
          <w:tcPr>
            <w:tcW w:w="1748" w:type="dxa"/>
            <w:tcBorders>
              <w:top w:val="nil"/>
              <w:left w:val="single" w:sz="8" w:space="0" w:color="auto"/>
              <w:bottom w:val="nil"/>
              <w:right w:val="nil"/>
            </w:tcBorders>
            <w:noWrap/>
            <w:vAlign w:val="center"/>
            <w:hideMark/>
          </w:tcPr>
          <w:p w14:paraId="6F1B2911" w14:textId="77777777" w:rsidR="00C4796B" w:rsidRPr="00C4796B" w:rsidRDefault="00C4796B" w:rsidP="00C14195">
            <w:pPr>
              <w:keepNext/>
              <w:keepLines/>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00035522" w14:textId="77777777" w:rsidR="00C4796B" w:rsidRPr="00C4796B" w:rsidRDefault="00C4796B" w:rsidP="00C14195">
            <w:pPr>
              <w:keepNext/>
              <w:keepLines/>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1AE5B8D2"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178.26</w:t>
            </w:r>
          </w:p>
        </w:tc>
        <w:tc>
          <w:tcPr>
            <w:tcW w:w="1636" w:type="dxa"/>
            <w:tcBorders>
              <w:top w:val="nil"/>
              <w:left w:val="nil"/>
              <w:bottom w:val="nil"/>
              <w:right w:val="nil"/>
            </w:tcBorders>
            <w:noWrap/>
            <w:vAlign w:val="center"/>
            <w:hideMark/>
          </w:tcPr>
          <w:p w14:paraId="79EFFDFE"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178.69</w:t>
            </w:r>
          </w:p>
        </w:tc>
        <w:tc>
          <w:tcPr>
            <w:tcW w:w="1636" w:type="dxa"/>
            <w:tcBorders>
              <w:top w:val="nil"/>
              <w:left w:val="nil"/>
              <w:bottom w:val="nil"/>
              <w:right w:val="nil"/>
            </w:tcBorders>
            <w:noWrap/>
            <w:vAlign w:val="center"/>
            <w:hideMark/>
          </w:tcPr>
          <w:p w14:paraId="06EFFFA9"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0.43</w:t>
            </w:r>
          </w:p>
        </w:tc>
        <w:tc>
          <w:tcPr>
            <w:tcW w:w="1628" w:type="dxa"/>
            <w:tcBorders>
              <w:top w:val="nil"/>
              <w:left w:val="nil"/>
              <w:bottom w:val="nil"/>
              <w:right w:val="single" w:sz="8" w:space="0" w:color="auto"/>
            </w:tcBorders>
            <w:noWrap/>
            <w:vAlign w:val="center"/>
            <w:hideMark/>
          </w:tcPr>
          <w:p w14:paraId="402FB45C"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39.80</w:t>
            </w:r>
          </w:p>
        </w:tc>
      </w:tr>
      <w:tr w:rsidR="00C4796B" w:rsidRPr="00C4796B" w14:paraId="5BD3E490" w14:textId="77777777" w:rsidTr="00C4796B">
        <w:trPr>
          <w:trHeight w:val="300"/>
        </w:trPr>
        <w:tc>
          <w:tcPr>
            <w:tcW w:w="1748" w:type="dxa"/>
            <w:tcBorders>
              <w:top w:val="nil"/>
              <w:left w:val="single" w:sz="8" w:space="0" w:color="auto"/>
              <w:bottom w:val="single" w:sz="8" w:space="0" w:color="auto"/>
              <w:right w:val="nil"/>
            </w:tcBorders>
            <w:noWrap/>
            <w:vAlign w:val="center"/>
            <w:hideMark/>
          </w:tcPr>
          <w:p w14:paraId="528D78A8"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single" w:sz="8" w:space="0" w:color="auto"/>
              <w:right w:val="nil"/>
            </w:tcBorders>
            <w:noWrap/>
            <w:vAlign w:val="center"/>
            <w:hideMark/>
          </w:tcPr>
          <w:p w14:paraId="185AA159"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67EC89E1"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183.64</w:t>
            </w:r>
          </w:p>
        </w:tc>
        <w:tc>
          <w:tcPr>
            <w:tcW w:w="1636" w:type="dxa"/>
            <w:tcBorders>
              <w:top w:val="nil"/>
              <w:left w:val="nil"/>
              <w:bottom w:val="single" w:sz="8" w:space="0" w:color="auto"/>
              <w:right w:val="nil"/>
            </w:tcBorders>
            <w:noWrap/>
            <w:vAlign w:val="center"/>
            <w:hideMark/>
          </w:tcPr>
          <w:p w14:paraId="78725F91"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187.73</w:t>
            </w:r>
          </w:p>
        </w:tc>
        <w:tc>
          <w:tcPr>
            <w:tcW w:w="1636" w:type="dxa"/>
            <w:tcBorders>
              <w:top w:val="nil"/>
              <w:left w:val="nil"/>
              <w:bottom w:val="single" w:sz="8" w:space="0" w:color="auto"/>
              <w:right w:val="nil"/>
            </w:tcBorders>
            <w:noWrap/>
            <w:vAlign w:val="center"/>
            <w:hideMark/>
          </w:tcPr>
          <w:p w14:paraId="56C92DEB"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4.08</w:t>
            </w:r>
          </w:p>
        </w:tc>
        <w:tc>
          <w:tcPr>
            <w:tcW w:w="1628" w:type="dxa"/>
            <w:tcBorders>
              <w:top w:val="nil"/>
              <w:left w:val="nil"/>
              <w:bottom w:val="single" w:sz="8" w:space="0" w:color="auto"/>
              <w:right w:val="single" w:sz="8" w:space="0" w:color="auto"/>
            </w:tcBorders>
            <w:noWrap/>
            <w:vAlign w:val="center"/>
            <w:hideMark/>
          </w:tcPr>
          <w:p w14:paraId="7EF36E1A" w14:textId="77777777" w:rsidR="00C4796B" w:rsidRPr="00C4796B" w:rsidRDefault="00C4796B" w:rsidP="00C14195">
            <w:pPr>
              <w:keepNext/>
              <w:keepLines/>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1.12</w:t>
            </w:r>
          </w:p>
        </w:tc>
      </w:tr>
      <w:tr w:rsidR="00C4796B" w:rsidRPr="00C4796B" w14:paraId="13CDFCEC" w14:textId="77777777" w:rsidTr="00C4796B">
        <w:trPr>
          <w:trHeight w:val="290"/>
        </w:trPr>
        <w:tc>
          <w:tcPr>
            <w:tcW w:w="1748" w:type="dxa"/>
            <w:tcBorders>
              <w:top w:val="nil"/>
              <w:left w:val="single" w:sz="8" w:space="0" w:color="auto"/>
              <w:bottom w:val="nil"/>
              <w:right w:val="nil"/>
            </w:tcBorders>
            <w:noWrap/>
            <w:vAlign w:val="center"/>
            <w:hideMark/>
          </w:tcPr>
          <w:p w14:paraId="6AF451BC"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25MN-023</w:t>
            </w:r>
          </w:p>
        </w:tc>
        <w:tc>
          <w:tcPr>
            <w:tcW w:w="1676" w:type="dxa"/>
            <w:tcBorders>
              <w:top w:val="nil"/>
              <w:left w:val="nil"/>
              <w:bottom w:val="nil"/>
              <w:right w:val="nil"/>
            </w:tcBorders>
            <w:noWrap/>
            <w:vAlign w:val="center"/>
            <w:hideMark/>
          </w:tcPr>
          <w:p w14:paraId="39F088F1"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Stray Dog</w:t>
            </w:r>
          </w:p>
        </w:tc>
        <w:tc>
          <w:tcPr>
            <w:tcW w:w="1636" w:type="dxa"/>
            <w:tcBorders>
              <w:top w:val="nil"/>
              <w:left w:val="nil"/>
              <w:bottom w:val="nil"/>
              <w:right w:val="nil"/>
            </w:tcBorders>
            <w:noWrap/>
            <w:vAlign w:val="center"/>
            <w:hideMark/>
          </w:tcPr>
          <w:p w14:paraId="5BC251E7"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121.92</w:t>
            </w:r>
          </w:p>
        </w:tc>
        <w:tc>
          <w:tcPr>
            <w:tcW w:w="1636" w:type="dxa"/>
            <w:tcBorders>
              <w:top w:val="nil"/>
              <w:left w:val="nil"/>
              <w:bottom w:val="nil"/>
              <w:right w:val="nil"/>
            </w:tcBorders>
            <w:noWrap/>
            <w:vAlign w:val="center"/>
            <w:hideMark/>
          </w:tcPr>
          <w:p w14:paraId="48CCE847"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126.8</w:t>
            </w:r>
          </w:p>
        </w:tc>
        <w:tc>
          <w:tcPr>
            <w:tcW w:w="1636" w:type="dxa"/>
            <w:tcBorders>
              <w:top w:val="nil"/>
              <w:left w:val="nil"/>
              <w:bottom w:val="nil"/>
              <w:right w:val="nil"/>
            </w:tcBorders>
            <w:noWrap/>
            <w:vAlign w:val="center"/>
            <w:hideMark/>
          </w:tcPr>
          <w:p w14:paraId="77F7D211"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4.88</w:t>
            </w:r>
          </w:p>
        </w:tc>
        <w:tc>
          <w:tcPr>
            <w:tcW w:w="1628" w:type="dxa"/>
            <w:tcBorders>
              <w:top w:val="nil"/>
              <w:left w:val="nil"/>
              <w:bottom w:val="nil"/>
              <w:right w:val="single" w:sz="8" w:space="0" w:color="auto"/>
            </w:tcBorders>
            <w:noWrap/>
            <w:vAlign w:val="center"/>
            <w:hideMark/>
          </w:tcPr>
          <w:p w14:paraId="7942D40D"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2.39</w:t>
            </w:r>
          </w:p>
        </w:tc>
      </w:tr>
      <w:tr w:rsidR="00C4796B" w:rsidRPr="00C4796B" w14:paraId="64835BD9" w14:textId="77777777" w:rsidTr="00C4796B">
        <w:trPr>
          <w:trHeight w:val="300"/>
        </w:trPr>
        <w:tc>
          <w:tcPr>
            <w:tcW w:w="1748" w:type="dxa"/>
            <w:tcBorders>
              <w:top w:val="nil"/>
              <w:left w:val="single" w:sz="8" w:space="0" w:color="auto"/>
              <w:bottom w:val="single" w:sz="8" w:space="0" w:color="auto"/>
              <w:right w:val="nil"/>
            </w:tcBorders>
            <w:noWrap/>
            <w:vAlign w:val="center"/>
            <w:hideMark/>
          </w:tcPr>
          <w:p w14:paraId="606CA97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single" w:sz="8" w:space="0" w:color="auto"/>
              <w:right w:val="nil"/>
            </w:tcBorders>
            <w:noWrap/>
            <w:vAlign w:val="center"/>
            <w:hideMark/>
          </w:tcPr>
          <w:p w14:paraId="43AF5D14"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070° / -45°</w:t>
            </w:r>
          </w:p>
        </w:tc>
        <w:tc>
          <w:tcPr>
            <w:tcW w:w="1636" w:type="dxa"/>
            <w:tcBorders>
              <w:top w:val="nil"/>
              <w:left w:val="nil"/>
              <w:bottom w:val="single" w:sz="8" w:space="0" w:color="auto"/>
              <w:right w:val="nil"/>
            </w:tcBorders>
            <w:noWrap/>
            <w:vAlign w:val="center"/>
            <w:hideMark/>
          </w:tcPr>
          <w:p w14:paraId="3992B05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4B83DEE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1D0B5A4D"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28" w:type="dxa"/>
            <w:tcBorders>
              <w:top w:val="nil"/>
              <w:left w:val="nil"/>
              <w:bottom w:val="single" w:sz="8" w:space="0" w:color="auto"/>
              <w:right w:val="single" w:sz="8" w:space="0" w:color="auto"/>
            </w:tcBorders>
            <w:noWrap/>
            <w:vAlign w:val="center"/>
            <w:hideMark/>
          </w:tcPr>
          <w:p w14:paraId="579404A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r>
      <w:tr w:rsidR="00C4796B" w:rsidRPr="00C4796B" w14:paraId="6ECA6C88" w14:textId="77777777" w:rsidTr="00C4796B">
        <w:trPr>
          <w:trHeight w:val="290"/>
        </w:trPr>
        <w:tc>
          <w:tcPr>
            <w:tcW w:w="1748" w:type="dxa"/>
            <w:tcBorders>
              <w:top w:val="nil"/>
              <w:left w:val="single" w:sz="8" w:space="0" w:color="auto"/>
              <w:bottom w:val="nil"/>
              <w:right w:val="nil"/>
            </w:tcBorders>
            <w:noWrap/>
            <w:vAlign w:val="center"/>
            <w:hideMark/>
          </w:tcPr>
          <w:p w14:paraId="1E67843A"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25MN-024</w:t>
            </w:r>
          </w:p>
        </w:tc>
        <w:tc>
          <w:tcPr>
            <w:tcW w:w="1676" w:type="dxa"/>
            <w:tcBorders>
              <w:top w:val="nil"/>
              <w:left w:val="nil"/>
              <w:bottom w:val="nil"/>
              <w:right w:val="nil"/>
            </w:tcBorders>
            <w:noWrap/>
            <w:vAlign w:val="center"/>
            <w:hideMark/>
          </w:tcPr>
          <w:p w14:paraId="04486A3C"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Reliance Trend</w:t>
            </w:r>
          </w:p>
        </w:tc>
        <w:tc>
          <w:tcPr>
            <w:tcW w:w="1636" w:type="dxa"/>
            <w:tcBorders>
              <w:top w:val="nil"/>
              <w:left w:val="nil"/>
              <w:bottom w:val="nil"/>
              <w:right w:val="nil"/>
            </w:tcBorders>
            <w:noWrap/>
            <w:vAlign w:val="center"/>
            <w:hideMark/>
          </w:tcPr>
          <w:p w14:paraId="69202602"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177.39</w:t>
            </w:r>
          </w:p>
        </w:tc>
        <w:tc>
          <w:tcPr>
            <w:tcW w:w="1636" w:type="dxa"/>
            <w:tcBorders>
              <w:top w:val="nil"/>
              <w:left w:val="nil"/>
              <w:bottom w:val="nil"/>
              <w:right w:val="nil"/>
            </w:tcBorders>
            <w:noWrap/>
            <w:vAlign w:val="center"/>
            <w:hideMark/>
          </w:tcPr>
          <w:p w14:paraId="115F0CFF"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186.39</w:t>
            </w:r>
          </w:p>
        </w:tc>
        <w:tc>
          <w:tcPr>
            <w:tcW w:w="1636" w:type="dxa"/>
            <w:tcBorders>
              <w:top w:val="nil"/>
              <w:left w:val="nil"/>
              <w:bottom w:val="nil"/>
              <w:right w:val="nil"/>
            </w:tcBorders>
            <w:noWrap/>
            <w:vAlign w:val="center"/>
            <w:hideMark/>
          </w:tcPr>
          <w:p w14:paraId="06824631"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8.99</w:t>
            </w:r>
          </w:p>
        </w:tc>
        <w:tc>
          <w:tcPr>
            <w:tcW w:w="1628" w:type="dxa"/>
            <w:tcBorders>
              <w:top w:val="nil"/>
              <w:left w:val="nil"/>
              <w:bottom w:val="nil"/>
              <w:right w:val="single" w:sz="8" w:space="0" w:color="auto"/>
            </w:tcBorders>
            <w:noWrap/>
            <w:vAlign w:val="center"/>
            <w:hideMark/>
          </w:tcPr>
          <w:p w14:paraId="4ECB7814"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1.93</w:t>
            </w:r>
          </w:p>
        </w:tc>
      </w:tr>
      <w:tr w:rsidR="00C4796B" w:rsidRPr="00C4796B" w14:paraId="2F9CD838" w14:textId="77777777" w:rsidTr="00C4796B">
        <w:trPr>
          <w:trHeight w:val="300"/>
        </w:trPr>
        <w:tc>
          <w:tcPr>
            <w:tcW w:w="1748" w:type="dxa"/>
            <w:tcBorders>
              <w:top w:val="nil"/>
              <w:left w:val="single" w:sz="8" w:space="0" w:color="auto"/>
              <w:bottom w:val="single" w:sz="8" w:space="0" w:color="auto"/>
              <w:right w:val="nil"/>
            </w:tcBorders>
            <w:noWrap/>
            <w:vAlign w:val="center"/>
            <w:hideMark/>
          </w:tcPr>
          <w:p w14:paraId="66B2925E"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single" w:sz="8" w:space="0" w:color="auto"/>
              <w:right w:val="nil"/>
            </w:tcBorders>
            <w:noWrap/>
            <w:vAlign w:val="center"/>
            <w:hideMark/>
          </w:tcPr>
          <w:p w14:paraId="6BA60ED1"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070° / -55°</w:t>
            </w:r>
          </w:p>
        </w:tc>
        <w:tc>
          <w:tcPr>
            <w:tcW w:w="1636" w:type="dxa"/>
            <w:tcBorders>
              <w:top w:val="nil"/>
              <w:left w:val="nil"/>
              <w:bottom w:val="single" w:sz="8" w:space="0" w:color="auto"/>
              <w:right w:val="nil"/>
            </w:tcBorders>
            <w:noWrap/>
            <w:vAlign w:val="center"/>
            <w:hideMark/>
          </w:tcPr>
          <w:p w14:paraId="5C934CA1"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19EF9B2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181EDDE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28" w:type="dxa"/>
            <w:tcBorders>
              <w:top w:val="nil"/>
              <w:left w:val="nil"/>
              <w:bottom w:val="single" w:sz="8" w:space="0" w:color="auto"/>
              <w:right w:val="single" w:sz="8" w:space="0" w:color="auto"/>
            </w:tcBorders>
            <w:noWrap/>
            <w:vAlign w:val="center"/>
            <w:hideMark/>
          </w:tcPr>
          <w:p w14:paraId="733411D4"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r>
      <w:tr w:rsidR="00C4796B" w:rsidRPr="00C4796B" w14:paraId="099C3FF7" w14:textId="77777777" w:rsidTr="00C4796B">
        <w:trPr>
          <w:trHeight w:val="290"/>
        </w:trPr>
        <w:tc>
          <w:tcPr>
            <w:tcW w:w="1748" w:type="dxa"/>
            <w:tcBorders>
              <w:top w:val="nil"/>
              <w:left w:val="single" w:sz="8" w:space="0" w:color="auto"/>
              <w:bottom w:val="nil"/>
              <w:right w:val="nil"/>
            </w:tcBorders>
            <w:noWrap/>
            <w:vAlign w:val="center"/>
            <w:hideMark/>
          </w:tcPr>
          <w:p w14:paraId="2F1FACE5"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25MN-025</w:t>
            </w:r>
          </w:p>
        </w:tc>
        <w:tc>
          <w:tcPr>
            <w:tcW w:w="1676" w:type="dxa"/>
            <w:tcBorders>
              <w:top w:val="nil"/>
              <w:left w:val="nil"/>
              <w:bottom w:val="nil"/>
              <w:right w:val="nil"/>
            </w:tcBorders>
            <w:noWrap/>
            <w:vAlign w:val="center"/>
            <w:hideMark/>
          </w:tcPr>
          <w:p w14:paraId="6D388AC8"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Reliance Trend</w:t>
            </w:r>
          </w:p>
        </w:tc>
        <w:tc>
          <w:tcPr>
            <w:tcW w:w="1636" w:type="dxa"/>
            <w:tcBorders>
              <w:top w:val="nil"/>
              <w:left w:val="nil"/>
              <w:bottom w:val="nil"/>
              <w:right w:val="nil"/>
            </w:tcBorders>
            <w:noWrap/>
            <w:vAlign w:val="center"/>
            <w:hideMark/>
          </w:tcPr>
          <w:p w14:paraId="2D310056"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71.35</w:t>
            </w:r>
          </w:p>
        </w:tc>
        <w:tc>
          <w:tcPr>
            <w:tcW w:w="1636" w:type="dxa"/>
            <w:tcBorders>
              <w:top w:val="nil"/>
              <w:left w:val="nil"/>
              <w:bottom w:val="nil"/>
              <w:right w:val="nil"/>
            </w:tcBorders>
            <w:noWrap/>
            <w:vAlign w:val="center"/>
            <w:hideMark/>
          </w:tcPr>
          <w:p w14:paraId="4BE6A973"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74.28</w:t>
            </w:r>
          </w:p>
        </w:tc>
        <w:tc>
          <w:tcPr>
            <w:tcW w:w="1636" w:type="dxa"/>
            <w:tcBorders>
              <w:top w:val="nil"/>
              <w:left w:val="nil"/>
              <w:bottom w:val="nil"/>
              <w:right w:val="nil"/>
            </w:tcBorders>
            <w:noWrap/>
            <w:vAlign w:val="center"/>
            <w:hideMark/>
          </w:tcPr>
          <w:p w14:paraId="6AFF822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2.93</w:t>
            </w:r>
          </w:p>
        </w:tc>
        <w:tc>
          <w:tcPr>
            <w:tcW w:w="1628" w:type="dxa"/>
            <w:tcBorders>
              <w:top w:val="nil"/>
              <w:left w:val="nil"/>
              <w:bottom w:val="nil"/>
              <w:right w:val="single" w:sz="8" w:space="0" w:color="auto"/>
            </w:tcBorders>
            <w:noWrap/>
            <w:vAlign w:val="center"/>
            <w:hideMark/>
          </w:tcPr>
          <w:p w14:paraId="67322402"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0.92</w:t>
            </w:r>
          </w:p>
        </w:tc>
      </w:tr>
      <w:tr w:rsidR="00C4796B" w:rsidRPr="00C4796B" w14:paraId="77BC5CD6" w14:textId="77777777" w:rsidTr="00C4796B">
        <w:trPr>
          <w:trHeight w:val="290"/>
        </w:trPr>
        <w:tc>
          <w:tcPr>
            <w:tcW w:w="1748" w:type="dxa"/>
            <w:tcBorders>
              <w:top w:val="nil"/>
              <w:left w:val="single" w:sz="8" w:space="0" w:color="auto"/>
              <w:bottom w:val="nil"/>
              <w:right w:val="nil"/>
            </w:tcBorders>
            <w:noWrap/>
            <w:vAlign w:val="center"/>
            <w:hideMark/>
          </w:tcPr>
          <w:p w14:paraId="4A4E950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43B85DD9"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60° / -60°</w:t>
            </w:r>
          </w:p>
        </w:tc>
        <w:tc>
          <w:tcPr>
            <w:tcW w:w="1636" w:type="dxa"/>
            <w:tcBorders>
              <w:top w:val="nil"/>
              <w:left w:val="nil"/>
              <w:bottom w:val="nil"/>
              <w:right w:val="nil"/>
            </w:tcBorders>
            <w:noWrap/>
            <w:vAlign w:val="center"/>
            <w:hideMark/>
          </w:tcPr>
          <w:p w14:paraId="12F5370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87.78</w:t>
            </w:r>
          </w:p>
        </w:tc>
        <w:tc>
          <w:tcPr>
            <w:tcW w:w="1636" w:type="dxa"/>
            <w:tcBorders>
              <w:top w:val="nil"/>
              <w:left w:val="nil"/>
              <w:bottom w:val="nil"/>
              <w:right w:val="nil"/>
            </w:tcBorders>
            <w:noWrap/>
            <w:vAlign w:val="center"/>
            <w:hideMark/>
          </w:tcPr>
          <w:p w14:paraId="644D08A4"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104.55</w:t>
            </w:r>
          </w:p>
        </w:tc>
        <w:tc>
          <w:tcPr>
            <w:tcW w:w="1636" w:type="dxa"/>
            <w:tcBorders>
              <w:top w:val="nil"/>
              <w:left w:val="nil"/>
              <w:bottom w:val="nil"/>
              <w:right w:val="nil"/>
            </w:tcBorders>
            <w:noWrap/>
            <w:vAlign w:val="center"/>
            <w:hideMark/>
          </w:tcPr>
          <w:p w14:paraId="7A517A81"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16.76</w:t>
            </w:r>
          </w:p>
        </w:tc>
        <w:tc>
          <w:tcPr>
            <w:tcW w:w="1628" w:type="dxa"/>
            <w:tcBorders>
              <w:top w:val="nil"/>
              <w:left w:val="nil"/>
              <w:bottom w:val="nil"/>
              <w:right w:val="single" w:sz="8" w:space="0" w:color="auto"/>
            </w:tcBorders>
            <w:noWrap/>
            <w:vAlign w:val="center"/>
            <w:hideMark/>
          </w:tcPr>
          <w:p w14:paraId="22D59B8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0.26</w:t>
            </w:r>
          </w:p>
        </w:tc>
      </w:tr>
      <w:tr w:rsidR="00C4796B" w:rsidRPr="00C4796B" w14:paraId="62759E2C" w14:textId="77777777" w:rsidTr="00C4796B">
        <w:trPr>
          <w:trHeight w:val="290"/>
        </w:trPr>
        <w:tc>
          <w:tcPr>
            <w:tcW w:w="1748" w:type="dxa"/>
            <w:tcBorders>
              <w:top w:val="nil"/>
              <w:left w:val="single" w:sz="8" w:space="0" w:color="auto"/>
              <w:bottom w:val="nil"/>
              <w:right w:val="nil"/>
            </w:tcBorders>
            <w:noWrap/>
            <w:vAlign w:val="center"/>
            <w:hideMark/>
          </w:tcPr>
          <w:p w14:paraId="104272E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603FF198"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10244BF5"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150.82</w:t>
            </w:r>
          </w:p>
        </w:tc>
        <w:tc>
          <w:tcPr>
            <w:tcW w:w="1636" w:type="dxa"/>
            <w:tcBorders>
              <w:top w:val="nil"/>
              <w:left w:val="nil"/>
              <w:bottom w:val="nil"/>
              <w:right w:val="nil"/>
            </w:tcBorders>
            <w:noWrap/>
            <w:vAlign w:val="center"/>
            <w:hideMark/>
          </w:tcPr>
          <w:p w14:paraId="5B82B385"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164.74</w:t>
            </w:r>
          </w:p>
        </w:tc>
        <w:tc>
          <w:tcPr>
            <w:tcW w:w="1636" w:type="dxa"/>
            <w:tcBorders>
              <w:top w:val="nil"/>
              <w:left w:val="nil"/>
              <w:bottom w:val="nil"/>
              <w:right w:val="nil"/>
            </w:tcBorders>
            <w:noWrap/>
            <w:vAlign w:val="center"/>
            <w:hideMark/>
          </w:tcPr>
          <w:p w14:paraId="402DD40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13.93</w:t>
            </w:r>
          </w:p>
        </w:tc>
        <w:tc>
          <w:tcPr>
            <w:tcW w:w="1628" w:type="dxa"/>
            <w:tcBorders>
              <w:top w:val="nil"/>
              <w:left w:val="nil"/>
              <w:bottom w:val="nil"/>
              <w:right w:val="single" w:sz="8" w:space="0" w:color="auto"/>
            </w:tcBorders>
            <w:noWrap/>
            <w:vAlign w:val="center"/>
            <w:hideMark/>
          </w:tcPr>
          <w:p w14:paraId="392BDACC"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0.88</w:t>
            </w:r>
          </w:p>
        </w:tc>
      </w:tr>
      <w:tr w:rsidR="00C4796B" w:rsidRPr="00C4796B" w14:paraId="7F03261B" w14:textId="77777777" w:rsidTr="00C4796B">
        <w:trPr>
          <w:trHeight w:val="290"/>
        </w:trPr>
        <w:tc>
          <w:tcPr>
            <w:tcW w:w="1748" w:type="dxa"/>
            <w:tcBorders>
              <w:top w:val="nil"/>
              <w:left w:val="single" w:sz="8" w:space="0" w:color="auto"/>
              <w:bottom w:val="nil"/>
              <w:right w:val="nil"/>
            </w:tcBorders>
            <w:noWrap/>
            <w:vAlign w:val="center"/>
            <w:hideMark/>
          </w:tcPr>
          <w:p w14:paraId="5541E48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5BEA3556"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430D19F4"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170.54</w:t>
            </w:r>
          </w:p>
        </w:tc>
        <w:tc>
          <w:tcPr>
            <w:tcW w:w="1636" w:type="dxa"/>
            <w:tcBorders>
              <w:top w:val="nil"/>
              <w:left w:val="nil"/>
              <w:bottom w:val="nil"/>
              <w:right w:val="nil"/>
            </w:tcBorders>
            <w:noWrap/>
            <w:vAlign w:val="center"/>
            <w:hideMark/>
          </w:tcPr>
          <w:p w14:paraId="68A98D3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173.98</w:t>
            </w:r>
          </w:p>
        </w:tc>
        <w:tc>
          <w:tcPr>
            <w:tcW w:w="1636" w:type="dxa"/>
            <w:tcBorders>
              <w:top w:val="nil"/>
              <w:left w:val="nil"/>
              <w:bottom w:val="nil"/>
              <w:right w:val="nil"/>
            </w:tcBorders>
            <w:noWrap/>
            <w:vAlign w:val="center"/>
            <w:hideMark/>
          </w:tcPr>
          <w:p w14:paraId="4B9A6BB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3.44</w:t>
            </w:r>
          </w:p>
        </w:tc>
        <w:tc>
          <w:tcPr>
            <w:tcW w:w="1628" w:type="dxa"/>
            <w:tcBorders>
              <w:top w:val="nil"/>
              <w:left w:val="nil"/>
              <w:bottom w:val="nil"/>
              <w:right w:val="single" w:sz="8" w:space="0" w:color="auto"/>
            </w:tcBorders>
            <w:noWrap/>
            <w:vAlign w:val="center"/>
            <w:hideMark/>
          </w:tcPr>
          <w:p w14:paraId="7E22257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0.29</w:t>
            </w:r>
          </w:p>
        </w:tc>
      </w:tr>
      <w:tr w:rsidR="00C4796B" w:rsidRPr="00C4796B" w14:paraId="1561F88C" w14:textId="77777777" w:rsidTr="00C4796B">
        <w:trPr>
          <w:trHeight w:val="290"/>
        </w:trPr>
        <w:tc>
          <w:tcPr>
            <w:tcW w:w="1748" w:type="dxa"/>
            <w:tcBorders>
              <w:top w:val="nil"/>
              <w:left w:val="single" w:sz="8" w:space="0" w:color="auto"/>
              <w:bottom w:val="nil"/>
              <w:right w:val="nil"/>
            </w:tcBorders>
            <w:noWrap/>
            <w:vAlign w:val="center"/>
            <w:hideMark/>
          </w:tcPr>
          <w:p w14:paraId="36D9D3B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5D9C01B3"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44FA114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182.54</w:t>
            </w:r>
          </w:p>
        </w:tc>
        <w:tc>
          <w:tcPr>
            <w:tcW w:w="1636" w:type="dxa"/>
            <w:tcBorders>
              <w:top w:val="nil"/>
              <w:left w:val="nil"/>
              <w:bottom w:val="nil"/>
              <w:right w:val="nil"/>
            </w:tcBorders>
            <w:noWrap/>
            <w:vAlign w:val="center"/>
            <w:hideMark/>
          </w:tcPr>
          <w:p w14:paraId="4875EE84"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186.02</w:t>
            </w:r>
          </w:p>
        </w:tc>
        <w:tc>
          <w:tcPr>
            <w:tcW w:w="1636" w:type="dxa"/>
            <w:tcBorders>
              <w:top w:val="nil"/>
              <w:left w:val="nil"/>
              <w:bottom w:val="nil"/>
              <w:right w:val="nil"/>
            </w:tcBorders>
            <w:noWrap/>
            <w:vAlign w:val="center"/>
            <w:hideMark/>
          </w:tcPr>
          <w:p w14:paraId="6F4C255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3.47</w:t>
            </w:r>
          </w:p>
        </w:tc>
        <w:tc>
          <w:tcPr>
            <w:tcW w:w="1628" w:type="dxa"/>
            <w:tcBorders>
              <w:top w:val="nil"/>
              <w:left w:val="nil"/>
              <w:bottom w:val="nil"/>
              <w:right w:val="single" w:sz="8" w:space="0" w:color="auto"/>
            </w:tcBorders>
            <w:noWrap/>
            <w:vAlign w:val="center"/>
            <w:hideMark/>
          </w:tcPr>
          <w:p w14:paraId="5741E102"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6.69</w:t>
            </w:r>
          </w:p>
        </w:tc>
      </w:tr>
      <w:tr w:rsidR="00C4796B" w:rsidRPr="00C4796B" w14:paraId="6AD6B9C4" w14:textId="77777777" w:rsidTr="00C4796B">
        <w:trPr>
          <w:trHeight w:val="290"/>
        </w:trPr>
        <w:tc>
          <w:tcPr>
            <w:tcW w:w="1748" w:type="dxa"/>
            <w:tcBorders>
              <w:top w:val="nil"/>
              <w:left w:val="single" w:sz="8" w:space="0" w:color="auto"/>
              <w:bottom w:val="nil"/>
              <w:right w:val="nil"/>
            </w:tcBorders>
            <w:noWrap/>
            <w:vAlign w:val="center"/>
            <w:hideMark/>
          </w:tcPr>
          <w:p w14:paraId="6A88DF22" w14:textId="77777777" w:rsidR="00C4796B" w:rsidRPr="00C4796B" w:rsidRDefault="00C4796B" w:rsidP="00C4796B">
            <w:pPr>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1FE5181C" w14:textId="77777777" w:rsidR="00C4796B" w:rsidRPr="00C4796B" w:rsidRDefault="00C4796B" w:rsidP="00C4796B">
            <w:pPr>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32DAAE35"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184.89</w:t>
            </w:r>
          </w:p>
        </w:tc>
        <w:tc>
          <w:tcPr>
            <w:tcW w:w="1636" w:type="dxa"/>
            <w:tcBorders>
              <w:top w:val="nil"/>
              <w:left w:val="nil"/>
              <w:bottom w:val="nil"/>
              <w:right w:val="nil"/>
            </w:tcBorders>
            <w:noWrap/>
            <w:vAlign w:val="center"/>
            <w:hideMark/>
          </w:tcPr>
          <w:p w14:paraId="0A59FE66"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186.02</w:t>
            </w:r>
          </w:p>
        </w:tc>
        <w:tc>
          <w:tcPr>
            <w:tcW w:w="1636" w:type="dxa"/>
            <w:tcBorders>
              <w:top w:val="nil"/>
              <w:left w:val="nil"/>
              <w:bottom w:val="nil"/>
              <w:right w:val="nil"/>
            </w:tcBorders>
            <w:noWrap/>
            <w:vAlign w:val="center"/>
            <w:hideMark/>
          </w:tcPr>
          <w:p w14:paraId="39814C0C"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1.13</w:t>
            </w:r>
          </w:p>
        </w:tc>
        <w:tc>
          <w:tcPr>
            <w:tcW w:w="1628" w:type="dxa"/>
            <w:tcBorders>
              <w:top w:val="nil"/>
              <w:left w:val="nil"/>
              <w:bottom w:val="nil"/>
              <w:right w:val="single" w:sz="8" w:space="0" w:color="auto"/>
            </w:tcBorders>
            <w:noWrap/>
            <w:vAlign w:val="center"/>
            <w:hideMark/>
          </w:tcPr>
          <w:p w14:paraId="304F3CA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17.72</w:t>
            </w:r>
          </w:p>
        </w:tc>
      </w:tr>
      <w:tr w:rsidR="00C4796B" w:rsidRPr="00C4796B" w14:paraId="1E05445E" w14:textId="77777777" w:rsidTr="00C4796B">
        <w:trPr>
          <w:trHeight w:val="300"/>
        </w:trPr>
        <w:tc>
          <w:tcPr>
            <w:tcW w:w="1748" w:type="dxa"/>
            <w:tcBorders>
              <w:top w:val="nil"/>
              <w:left w:val="single" w:sz="8" w:space="0" w:color="auto"/>
              <w:bottom w:val="single" w:sz="8" w:space="0" w:color="auto"/>
              <w:right w:val="nil"/>
            </w:tcBorders>
            <w:noWrap/>
            <w:vAlign w:val="center"/>
            <w:hideMark/>
          </w:tcPr>
          <w:p w14:paraId="4AA19202"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single" w:sz="8" w:space="0" w:color="auto"/>
              <w:right w:val="nil"/>
            </w:tcBorders>
            <w:noWrap/>
            <w:vAlign w:val="center"/>
            <w:hideMark/>
          </w:tcPr>
          <w:p w14:paraId="336B2FAB"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32107DE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196.78</w:t>
            </w:r>
          </w:p>
        </w:tc>
        <w:tc>
          <w:tcPr>
            <w:tcW w:w="1636" w:type="dxa"/>
            <w:tcBorders>
              <w:top w:val="nil"/>
              <w:left w:val="nil"/>
              <w:bottom w:val="single" w:sz="8" w:space="0" w:color="auto"/>
              <w:right w:val="nil"/>
            </w:tcBorders>
            <w:noWrap/>
            <w:vAlign w:val="center"/>
            <w:hideMark/>
          </w:tcPr>
          <w:p w14:paraId="3DBAC50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201.32</w:t>
            </w:r>
          </w:p>
        </w:tc>
        <w:tc>
          <w:tcPr>
            <w:tcW w:w="1636" w:type="dxa"/>
            <w:tcBorders>
              <w:top w:val="nil"/>
              <w:left w:val="nil"/>
              <w:bottom w:val="single" w:sz="8" w:space="0" w:color="auto"/>
              <w:right w:val="nil"/>
            </w:tcBorders>
            <w:noWrap/>
            <w:vAlign w:val="center"/>
            <w:hideMark/>
          </w:tcPr>
          <w:p w14:paraId="4125B40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4.54</w:t>
            </w:r>
          </w:p>
        </w:tc>
        <w:tc>
          <w:tcPr>
            <w:tcW w:w="1628" w:type="dxa"/>
            <w:tcBorders>
              <w:top w:val="nil"/>
              <w:left w:val="nil"/>
              <w:bottom w:val="single" w:sz="8" w:space="0" w:color="auto"/>
              <w:right w:val="single" w:sz="8" w:space="0" w:color="auto"/>
            </w:tcBorders>
            <w:noWrap/>
            <w:vAlign w:val="center"/>
            <w:hideMark/>
          </w:tcPr>
          <w:p w14:paraId="5E7733A6"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0.34</w:t>
            </w:r>
          </w:p>
        </w:tc>
      </w:tr>
      <w:tr w:rsidR="00C4796B" w:rsidRPr="00C4796B" w14:paraId="0E0D186C" w14:textId="77777777" w:rsidTr="00C4796B">
        <w:trPr>
          <w:trHeight w:val="290"/>
        </w:trPr>
        <w:tc>
          <w:tcPr>
            <w:tcW w:w="1748" w:type="dxa"/>
            <w:tcBorders>
              <w:top w:val="nil"/>
              <w:left w:val="single" w:sz="8" w:space="0" w:color="auto"/>
              <w:bottom w:val="nil"/>
              <w:right w:val="nil"/>
            </w:tcBorders>
            <w:noWrap/>
            <w:vAlign w:val="center"/>
            <w:hideMark/>
          </w:tcPr>
          <w:p w14:paraId="4B1C948D"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25MN-026</w:t>
            </w:r>
          </w:p>
        </w:tc>
        <w:tc>
          <w:tcPr>
            <w:tcW w:w="1676" w:type="dxa"/>
            <w:tcBorders>
              <w:top w:val="nil"/>
              <w:left w:val="nil"/>
              <w:bottom w:val="nil"/>
              <w:right w:val="nil"/>
            </w:tcBorders>
            <w:noWrap/>
            <w:vAlign w:val="center"/>
            <w:hideMark/>
          </w:tcPr>
          <w:p w14:paraId="227BCD3A"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Reliance Trend</w:t>
            </w:r>
          </w:p>
        </w:tc>
        <w:tc>
          <w:tcPr>
            <w:tcW w:w="1636" w:type="dxa"/>
            <w:tcBorders>
              <w:top w:val="nil"/>
              <w:left w:val="nil"/>
              <w:bottom w:val="nil"/>
              <w:right w:val="nil"/>
            </w:tcBorders>
            <w:noWrap/>
            <w:vAlign w:val="center"/>
            <w:hideMark/>
          </w:tcPr>
          <w:p w14:paraId="027CE20C"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98.76</w:t>
            </w:r>
          </w:p>
        </w:tc>
        <w:tc>
          <w:tcPr>
            <w:tcW w:w="1636" w:type="dxa"/>
            <w:tcBorders>
              <w:top w:val="nil"/>
              <w:left w:val="nil"/>
              <w:bottom w:val="nil"/>
              <w:right w:val="nil"/>
            </w:tcBorders>
            <w:noWrap/>
            <w:vAlign w:val="center"/>
            <w:hideMark/>
          </w:tcPr>
          <w:p w14:paraId="0BF88DC6"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123.43</w:t>
            </w:r>
          </w:p>
        </w:tc>
        <w:tc>
          <w:tcPr>
            <w:tcW w:w="1636" w:type="dxa"/>
            <w:tcBorders>
              <w:top w:val="nil"/>
              <w:left w:val="nil"/>
              <w:bottom w:val="nil"/>
              <w:right w:val="nil"/>
            </w:tcBorders>
            <w:noWrap/>
            <w:vAlign w:val="center"/>
            <w:hideMark/>
          </w:tcPr>
          <w:p w14:paraId="5963AD3D"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24.67</w:t>
            </w:r>
          </w:p>
        </w:tc>
        <w:tc>
          <w:tcPr>
            <w:tcW w:w="1628" w:type="dxa"/>
            <w:tcBorders>
              <w:top w:val="nil"/>
              <w:left w:val="nil"/>
              <w:bottom w:val="nil"/>
              <w:right w:val="single" w:sz="8" w:space="0" w:color="auto"/>
            </w:tcBorders>
            <w:noWrap/>
            <w:vAlign w:val="center"/>
            <w:hideMark/>
          </w:tcPr>
          <w:p w14:paraId="5FF9D27E"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1.85</w:t>
            </w:r>
          </w:p>
        </w:tc>
      </w:tr>
      <w:tr w:rsidR="00C4796B" w:rsidRPr="00C4796B" w14:paraId="1354DE23" w14:textId="77777777" w:rsidTr="00C4796B">
        <w:trPr>
          <w:trHeight w:val="290"/>
        </w:trPr>
        <w:tc>
          <w:tcPr>
            <w:tcW w:w="1748" w:type="dxa"/>
            <w:tcBorders>
              <w:top w:val="nil"/>
              <w:left w:val="single" w:sz="8" w:space="0" w:color="auto"/>
              <w:bottom w:val="nil"/>
              <w:right w:val="nil"/>
            </w:tcBorders>
            <w:noWrap/>
            <w:vAlign w:val="center"/>
            <w:hideMark/>
          </w:tcPr>
          <w:p w14:paraId="276EA93F" w14:textId="77777777" w:rsidR="00C4796B" w:rsidRPr="00C4796B" w:rsidRDefault="00C4796B" w:rsidP="00C4796B">
            <w:pPr>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5B5FB0B3" w14:textId="77777777" w:rsidR="00C4796B" w:rsidRPr="00C4796B" w:rsidRDefault="00C4796B" w:rsidP="00C4796B">
            <w:pPr>
              <w:spacing w:line="240" w:lineRule="auto"/>
              <w:jc w:val="center"/>
              <w:rPr>
                <w:rFonts w:eastAsia="Times New Roman"/>
                <w:color w:val="000000"/>
              </w:rPr>
            </w:pPr>
            <w:r w:rsidRPr="00C4796B">
              <w:rPr>
                <w:rFonts w:eastAsia="Times New Roman"/>
                <w:color w:val="000000"/>
              </w:rPr>
              <w:t>65° / -80°</w:t>
            </w:r>
          </w:p>
        </w:tc>
        <w:tc>
          <w:tcPr>
            <w:tcW w:w="1636" w:type="dxa"/>
            <w:tcBorders>
              <w:top w:val="nil"/>
              <w:left w:val="nil"/>
              <w:bottom w:val="nil"/>
              <w:right w:val="nil"/>
            </w:tcBorders>
            <w:noWrap/>
            <w:vAlign w:val="center"/>
            <w:hideMark/>
          </w:tcPr>
          <w:p w14:paraId="010AA291"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98.76</w:t>
            </w:r>
          </w:p>
        </w:tc>
        <w:tc>
          <w:tcPr>
            <w:tcW w:w="1636" w:type="dxa"/>
            <w:tcBorders>
              <w:top w:val="nil"/>
              <w:left w:val="nil"/>
              <w:bottom w:val="nil"/>
              <w:right w:val="nil"/>
            </w:tcBorders>
            <w:noWrap/>
            <w:vAlign w:val="center"/>
            <w:hideMark/>
          </w:tcPr>
          <w:p w14:paraId="100B387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101.35</w:t>
            </w:r>
          </w:p>
        </w:tc>
        <w:tc>
          <w:tcPr>
            <w:tcW w:w="1636" w:type="dxa"/>
            <w:tcBorders>
              <w:top w:val="nil"/>
              <w:left w:val="nil"/>
              <w:bottom w:val="nil"/>
              <w:right w:val="nil"/>
            </w:tcBorders>
            <w:noWrap/>
            <w:vAlign w:val="center"/>
            <w:hideMark/>
          </w:tcPr>
          <w:p w14:paraId="19830CD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2.59</w:t>
            </w:r>
          </w:p>
        </w:tc>
        <w:tc>
          <w:tcPr>
            <w:tcW w:w="1628" w:type="dxa"/>
            <w:tcBorders>
              <w:top w:val="nil"/>
              <w:left w:val="nil"/>
              <w:bottom w:val="nil"/>
              <w:right w:val="single" w:sz="8" w:space="0" w:color="auto"/>
            </w:tcBorders>
            <w:noWrap/>
            <w:vAlign w:val="center"/>
            <w:hideMark/>
          </w:tcPr>
          <w:p w14:paraId="539196D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4.58</w:t>
            </w:r>
          </w:p>
        </w:tc>
      </w:tr>
      <w:tr w:rsidR="00C4796B" w:rsidRPr="00C4796B" w14:paraId="373B6798" w14:textId="77777777" w:rsidTr="00C4796B">
        <w:trPr>
          <w:trHeight w:val="290"/>
        </w:trPr>
        <w:tc>
          <w:tcPr>
            <w:tcW w:w="1748" w:type="dxa"/>
            <w:tcBorders>
              <w:top w:val="nil"/>
              <w:left w:val="single" w:sz="8" w:space="0" w:color="auto"/>
              <w:bottom w:val="nil"/>
              <w:right w:val="nil"/>
            </w:tcBorders>
            <w:noWrap/>
            <w:vAlign w:val="center"/>
            <w:hideMark/>
          </w:tcPr>
          <w:p w14:paraId="39DA91AC" w14:textId="77777777" w:rsidR="00C4796B" w:rsidRPr="00C4796B" w:rsidRDefault="00C4796B" w:rsidP="00C4796B">
            <w:pPr>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11134CBA" w14:textId="77777777" w:rsidR="00C4796B" w:rsidRPr="00C4796B" w:rsidRDefault="00C4796B" w:rsidP="00C4796B">
            <w:pPr>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2C733BDC"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113.75</w:t>
            </w:r>
          </w:p>
        </w:tc>
        <w:tc>
          <w:tcPr>
            <w:tcW w:w="1636" w:type="dxa"/>
            <w:tcBorders>
              <w:top w:val="nil"/>
              <w:left w:val="nil"/>
              <w:bottom w:val="nil"/>
              <w:right w:val="nil"/>
            </w:tcBorders>
            <w:noWrap/>
            <w:vAlign w:val="center"/>
            <w:hideMark/>
          </w:tcPr>
          <w:p w14:paraId="5BCC3AE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115.23</w:t>
            </w:r>
          </w:p>
        </w:tc>
        <w:tc>
          <w:tcPr>
            <w:tcW w:w="1636" w:type="dxa"/>
            <w:tcBorders>
              <w:top w:val="nil"/>
              <w:left w:val="nil"/>
              <w:bottom w:val="nil"/>
              <w:right w:val="nil"/>
            </w:tcBorders>
            <w:noWrap/>
            <w:vAlign w:val="center"/>
            <w:hideMark/>
          </w:tcPr>
          <w:p w14:paraId="44FD149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1.48</w:t>
            </w:r>
          </w:p>
        </w:tc>
        <w:tc>
          <w:tcPr>
            <w:tcW w:w="1628" w:type="dxa"/>
            <w:tcBorders>
              <w:top w:val="nil"/>
              <w:left w:val="nil"/>
              <w:bottom w:val="nil"/>
              <w:right w:val="single" w:sz="8" w:space="0" w:color="auto"/>
            </w:tcBorders>
            <w:noWrap/>
            <w:vAlign w:val="center"/>
            <w:hideMark/>
          </w:tcPr>
          <w:p w14:paraId="3C0C1982"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12.52</w:t>
            </w:r>
          </w:p>
        </w:tc>
      </w:tr>
      <w:tr w:rsidR="00C4796B" w:rsidRPr="00C4796B" w14:paraId="4C05D556" w14:textId="77777777" w:rsidTr="00C4796B">
        <w:trPr>
          <w:trHeight w:val="290"/>
        </w:trPr>
        <w:tc>
          <w:tcPr>
            <w:tcW w:w="1748" w:type="dxa"/>
            <w:tcBorders>
              <w:top w:val="nil"/>
              <w:left w:val="single" w:sz="8" w:space="0" w:color="auto"/>
              <w:bottom w:val="nil"/>
              <w:right w:val="nil"/>
            </w:tcBorders>
            <w:noWrap/>
            <w:vAlign w:val="center"/>
            <w:hideMark/>
          </w:tcPr>
          <w:p w14:paraId="7D02041D" w14:textId="77777777" w:rsidR="00C4796B" w:rsidRPr="00C4796B" w:rsidRDefault="00C4796B" w:rsidP="00C4796B">
            <w:pPr>
              <w:spacing w:line="240" w:lineRule="auto"/>
              <w:jc w:val="center"/>
              <w:rPr>
                <w:rFonts w:eastAsia="Times New Roman"/>
                <w:i/>
                <w:iCs/>
                <w:color w:val="000000"/>
              </w:rPr>
            </w:pPr>
            <w:r w:rsidRPr="00C4796B">
              <w:rPr>
                <w:rFonts w:eastAsia="Times New Roman"/>
                <w:i/>
                <w:iCs/>
                <w:color w:val="000000"/>
              </w:rPr>
              <w:t>including</w:t>
            </w:r>
          </w:p>
        </w:tc>
        <w:tc>
          <w:tcPr>
            <w:tcW w:w="1676" w:type="dxa"/>
            <w:tcBorders>
              <w:top w:val="nil"/>
              <w:left w:val="nil"/>
              <w:bottom w:val="nil"/>
              <w:right w:val="nil"/>
            </w:tcBorders>
            <w:noWrap/>
            <w:vAlign w:val="center"/>
            <w:hideMark/>
          </w:tcPr>
          <w:p w14:paraId="5164BAD4" w14:textId="77777777" w:rsidR="00C4796B" w:rsidRPr="00C4796B" w:rsidRDefault="00C4796B" w:rsidP="00C4796B">
            <w:pPr>
              <w:spacing w:line="240" w:lineRule="auto"/>
              <w:jc w:val="center"/>
              <w:rPr>
                <w:rFonts w:eastAsia="Times New Roman"/>
                <w:i/>
                <w:iCs/>
                <w:color w:val="000000"/>
              </w:rPr>
            </w:pPr>
          </w:p>
        </w:tc>
        <w:tc>
          <w:tcPr>
            <w:tcW w:w="1636" w:type="dxa"/>
            <w:tcBorders>
              <w:top w:val="nil"/>
              <w:left w:val="nil"/>
              <w:bottom w:val="nil"/>
              <w:right w:val="nil"/>
            </w:tcBorders>
            <w:noWrap/>
            <w:vAlign w:val="center"/>
            <w:hideMark/>
          </w:tcPr>
          <w:p w14:paraId="20603F3E"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113.75</w:t>
            </w:r>
          </w:p>
        </w:tc>
        <w:tc>
          <w:tcPr>
            <w:tcW w:w="1636" w:type="dxa"/>
            <w:tcBorders>
              <w:top w:val="nil"/>
              <w:left w:val="nil"/>
              <w:bottom w:val="nil"/>
              <w:right w:val="nil"/>
            </w:tcBorders>
            <w:noWrap/>
            <w:vAlign w:val="center"/>
            <w:hideMark/>
          </w:tcPr>
          <w:p w14:paraId="2766FA6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122.22</w:t>
            </w:r>
          </w:p>
        </w:tc>
        <w:tc>
          <w:tcPr>
            <w:tcW w:w="1636" w:type="dxa"/>
            <w:tcBorders>
              <w:top w:val="nil"/>
              <w:left w:val="nil"/>
              <w:bottom w:val="nil"/>
              <w:right w:val="nil"/>
            </w:tcBorders>
            <w:noWrap/>
            <w:vAlign w:val="center"/>
            <w:hideMark/>
          </w:tcPr>
          <w:p w14:paraId="34A102D5"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8.47</w:t>
            </w:r>
          </w:p>
        </w:tc>
        <w:tc>
          <w:tcPr>
            <w:tcW w:w="1628" w:type="dxa"/>
            <w:tcBorders>
              <w:top w:val="nil"/>
              <w:left w:val="nil"/>
              <w:bottom w:val="nil"/>
              <w:right w:val="single" w:sz="8" w:space="0" w:color="auto"/>
            </w:tcBorders>
            <w:noWrap/>
            <w:vAlign w:val="center"/>
            <w:hideMark/>
          </w:tcPr>
          <w:p w14:paraId="1FF66ED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3.56</w:t>
            </w:r>
          </w:p>
        </w:tc>
      </w:tr>
      <w:tr w:rsidR="00C4796B" w:rsidRPr="00C4796B" w14:paraId="1CADDAF6" w14:textId="77777777" w:rsidTr="00C4796B">
        <w:trPr>
          <w:trHeight w:val="290"/>
        </w:trPr>
        <w:tc>
          <w:tcPr>
            <w:tcW w:w="1748" w:type="dxa"/>
            <w:tcBorders>
              <w:top w:val="nil"/>
              <w:left w:val="single" w:sz="8" w:space="0" w:color="auto"/>
              <w:bottom w:val="nil"/>
              <w:right w:val="nil"/>
            </w:tcBorders>
            <w:noWrap/>
            <w:vAlign w:val="center"/>
            <w:hideMark/>
          </w:tcPr>
          <w:p w14:paraId="16D631C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3240DB4A"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7D29759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132.28</w:t>
            </w:r>
          </w:p>
        </w:tc>
        <w:tc>
          <w:tcPr>
            <w:tcW w:w="1636" w:type="dxa"/>
            <w:tcBorders>
              <w:top w:val="nil"/>
              <w:left w:val="nil"/>
              <w:bottom w:val="nil"/>
              <w:right w:val="nil"/>
            </w:tcBorders>
            <w:noWrap/>
            <w:vAlign w:val="center"/>
            <w:hideMark/>
          </w:tcPr>
          <w:p w14:paraId="3A919F5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145.39</w:t>
            </w:r>
          </w:p>
        </w:tc>
        <w:tc>
          <w:tcPr>
            <w:tcW w:w="1636" w:type="dxa"/>
            <w:tcBorders>
              <w:top w:val="nil"/>
              <w:left w:val="nil"/>
              <w:bottom w:val="nil"/>
              <w:right w:val="nil"/>
            </w:tcBorders>
            <w:noWrap/>
            <w:vAlign w:val="center"/>
            <w:hideMark/>
          </w:tcPr>
          <w:p w14:paraId="7F9A92F6"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13.11</w:t>
            </w:r>
          </w:p>
        </w:tc>
        <w:tc>
          <w:tcPr>
            <w:tcW w:w="1628" w:type="dxa"/>
            <w:tcBorders>
              <w:top w:val="nil"/>
              <w:left w:val="nil"/>
              <w:bottom w:val="nil"/>
              <w:right w:val="single" w:sz="8" w:space="0" w:color="auto"/>
            </w:tcBorders>
            <w:noWrap/>
            <w:vAlign w:val="center"/>
            <w:hideMark/>
          </w:tcPr>
          <w:p w14:paraId="6804D6B5"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0.21</w:t>
            </w:r>
          </w:p>
        </w:tc>
      </w:tr>
      <w:tr w:rsidR="00C4796B" w:rsidRPr="00C4796B" w14:paraId="58BEF894" w14:textId="77777777" w:rsidTr="00C4796B">
        <w:trPr>
          <w:trHeight w:val="290"/>
        </w:trPr>
        <w:tc>
          <w:tcPr>
            <w:tcW w:w="1748" w:type="dxa"/>
            <w:tcBorders>
              <w:top w:val="nil"/>
              <w:left w:val="single" w:sz="8" w:space="0" w:color="auto"/>
              <w:bottom w:val="nil"/>
              <w:right w:val="nil"/>
            </w:tcBorders>
            <w:noWrap/>
            <w:vAlign w:val="center"/>
            <w:hideMark/>
          </w:tcPr>
          <w:p w14:paraId="54B5D6D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5F00279C"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23FC7147"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156.36</w:t>
            </w:r>
          </w:p>
        </w:tc>
        <w:tc>
          <w:tcPr>
            <w:tcW w:w="1636" w:type="dxa"/>
            <w:tcBorders>
              <w:top w:val="nil"/>
              <w:left w:val="nil"/>
              <w:bottom w:val="nil"/>
              <w:right w:val="nil"/>
            </w:tcBorders>
            <w:noWrap/>
            <w:vAlign w:val="center"/>
            <w:hideMark/>
          </w:tcPr>
          <w:p w14:paraId="26926FF6"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159.14</w:t>
            </w:r>
          </w:p>
        </w:tc>
        <w:tc>
          <w:tcPr>
            <w:tcW w:w="1636" w:type="dxa"/>
            <w:tcBorders>
              <w:top w:val="nil"/>
              <w:left w:val="nil"/>
              <w:bottom w:val="nil"/>
              <w:right w:val="nil"/>
            </w:tcBorders>
            <w:noWrap/>
            <w:vAlign w:val="center"/>
            <w:hideMark/>
          </w:tcPr>
          <w:p w14:paraId="5ADDE890"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2.77</w:t>
            </w:r>
          </w:p>
        </w:tc>
        <w:tc>
          <w:tcPr>
            <w:tcW w:w="1628" w:type="dxa"/>
            <w:tcBorders>
              <w:top w:val="nil"/>
              <w:left w:val="nil"/>
              <w:bottom w:val="nil"/>
              <w:right w:val="single" w:sz="8" w:space="0" w:color="auto"/>
            </w:tcBorders>
            <w:noWrap/>
            <w:vAlign w:val="center"/>
            <w:hideMark/>
          </w:tcPr>
          <w:p w14:paraId="0E2FBEFF"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3.11</w:t>
            </w:r>
          </w:p>
        </w:tc>
      </w:tr>
      <w:tr w:rsidR="00C4796B" w:rsidRPr="00C4796B" w14:paraId="631E2718" w14:textId="77777777" w:rsidTr="00C4796B">
        <w:trPr>
          <w:trHeight w:val="290"/>
        </w:trPr>
        <w:tc>
          <w:tcPr>
            <w:tcW w:w="1748" w:type="dxa"/>
            <w:tcBorders>
              <w:top w:val="nil"/>
              <w:left w:val="single" w:sz="8" w:space="0" w:color="auto"/>
              <w:bottom w:val="nil"/>
              <w:right w:val="nil"/>
            </w:tcBorders>
            <w:noWrap/>
            <w:vAlign w:val="center"/>
            <w:hideMark/>
          </w:tcPr>
          <w:p w14:paraId="31532B9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5EBC3A49"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7614FB14"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166.73</w:t>
            </w:r>
          </w:p>
        </w:tc>
        <w:tc>
          <w:tcPr>
            <w:tcW w:w="1636" w:type="dxa"/>
            <w:tcBorders>
              <w:top w:val="nil"/>
              <w:left w:val="nil"/>
              <w:bottom w:val="nil"/>
              <w:right w:val="nil"/>
            </w:tcBorders>
            <w:noWrap/>
            <w:vAlign w:val="center"/>
            <w:hideMark/>
          </w:tcPr>
          <w:p w14:paraId="1DF11213"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169.77</w:t>
            </w:r>
          </w:p>
        </w:tc>
        <w:tc>
          <w:tcPr>
            <w:tcW w:w="1636" w:type="dxa"/>
            <w:tcBorders>
              <w:top w:val="nil"/>
              <w:left w:val="nil"/>
              <w:bottom w:val="nil"/>
              <w:right w:val="nil"/>
            </w:tcBorders>
            <w:noWrap/>
            <w:vAlign w:val="center"/>
            <w:hideMark/>
          </w:tcPr>
          <w:p w14:paraId="444F144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3.05</w:t>
            </w:r>
          </w:p>
        </w:tc>
        <w:tc>
          <w:tcPr>
            <w:tcW w:w="1628" w:type="dxa"/>
            <w:tcBorders>
              <w:top w:val="nil"/>
              <w:left w:val="nil"/>
              <w:bottom w:val="nil"/>
              <w:right w:val="single" w:sz="8" w:space="0" w:color="auto"/>
            </w:tcBorders>
            <w:noWrap/>
            <w:vAlign w:val="center"/>
            <w:hideMark/>
          </w:tcPr>
          <w:p w14:paraId="28C9DC88"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1.11</w:t>
            </w:r>
          </w:p>
        </w:tc>
      </w:tr>
      <w:tr w:rsidR="00C4796B" w:rsidRPr="00C4796B" w14:paraId="69E67CBA" w14:textId="77777777" w:rsidTr="00C4796B">
        <w:trPr>
          <w:trHeight w:val="290"/>
        </w:trPr>
        <w:tc>
          <w:tcPr>
            <w:tcW w:w="1748" w:type="dxa"/>
            <w:tcBorders>
              <w:top w:val="nil"/>
              <w:left w:val="single" w:sz="8" w:space="0" w:color="auto"/>
              <w:bottom w:val="nil"/>
              <w:right w:val="nil"/>
            </w:tcBorders>
            <w:noWrap/>
            <w:vAlign w:val="center"/>
            <w:hideMark/>
          </w:tcPr>
          <w:p w14:paraId="16CEADD2"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nil"/>
              <w:right w:val="nil"/>
            </w:tcBorders>
            <w:noWrap/>
            <w:vAlign w:val="center"/>
            <w:hideMark/>
          </w:tcPr>
          <w:p w14:paraId="11EF0C8F" w14:textId="77777777" w:rsidR="00C4796B" w:rsidRPr="00C4796B" w:rsidRDefault="00C4796B" w:rsidP="00C4796B">
            <w:pPr>
              <w:spacing w:line="240" w:lineRule="auto"/>
              <w:jc w:val="center"/>
              <w:rPr>
                <w:rFonts w:ascii="Aptos Narrow" w:eastAsia="Times New Roman" w:hAnsi="Aptos Narrow" w:cs="Times New Roman"/>
                <w:color w:val="000000"/>
              </w:rPr>
            </w:pPr>
          </w:p>
        </w:tc>
        <w:tc>
          <w:tcPr>
            <w:tcW w:w="1636" w:type="dxa"/>
            <w:tcBorders>
              <w:top w:val="nil"/>
              <w:left w:val="nil"/>
              <w:bottom w:val="nil"/>
              <w:right w:val="nil"/>
            </w:tcBorders>
            <w:noWrap/>
            <w:vAlign w:val="center"/>
            <w:hideMark/>
          </w:tcPr>
          <w:p w14:paraId="1AC1976D"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180.81</w:t>
            </w:r>
          </w:p>
        </w:tc>
        <w:tc>
          <w:tcPr>
            <w:tcW w:w="1636" w:type="dxa"/>
            <w:tcBorders>
              <w:top w:val="nil"/>
              <w:left w:val="nil"/>
              <w:bottom w:val="nil"/>
              <w:right w:val="nil"/>
            </w:tcBorders>
            <w:noWrap/>
            <w:vAlign w:val="center"/>
            <w:hideMark/>
          </w:tcPr>
          <w:p w14:paraId="0FDB0366"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189.52</w:t>
            </w:r>
          </w:p>
        </w:tc>
        <w:tc>
          <w:tcPr>
            <w:tcW w:w="1636" w:type="dxa"/>
            <w:tcBorders>
              <w:top w:val="nil"/>
              <w:left w:val="nil"/>
              <w:bottom w:val="nil"/>
              <w:right w:val="nil"/>
            </w:tcBorders>
            <w:noWrap/>
            <w:vAlign w:val="center"/>
            <w:hideMark/>
          </w:tcPr>
          <w:p w14:paraId="601E0884"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8.72</w:t>
            </w:r>
          </w:p>
        </w:tc>
        <w:tc>
          <w:tcPr>
            <w:tcW w:w="1628" w:type="dxa"/>
            <w:tcBorders>
              <w:top w:val="nil"/>
              <w:left w:val="nil"/>
              <w:bottom w:val="nil"/>
              <w:right w:val="single" w:sz="8" w:space="0" w:color="auto"/>
            </w:tcBorders>
            <w:noWrap/>
            <w:vAlign w:val="center"/>
            <w:hideMark/>
          </w:tcPr>
          <w:p w14:paraId="7B398D16" w14:textId="77777777" w:rsidR="00C4796B" w:rsidRPr="007E53FB" w:rsidRDefault="00C4796B" w:rsidP="00C4796B">
            <w:pPr>
              <w:spacing w:line="240" w:lineRule="auto"/>
              <w:jc w:val="center"/>
              <w:rPr>
                <w:rFonts w:ascii="Aptos Narrow" w:eastAsia="Times New Roman" w:hAnsi="Aptos Narrow" w:cs="Times New Roman"/>
                <w:b/>
                <w:bCs/>
                <w:color w:val="000000"/>
              </w:rPr>
            </w:pPr>
            <w:r w:rsidRPr="007E53FB">
              <w:rPr>
                <w:rFonts w:ascii="Aptos Narrow" w:eastAsia="Times New Roman" w:hAnsi="Aptos Narrow" w:cs="Times New Roman"/>
                <w:b/>
                <w:bCs/>
                <w:color w:val="000000"/>
              </w:rPr>
              <w:t>2.07</w:t>
            </w:r>
          </w:p>
        </w:tc>
      </w:tr>
      <w:tr w:rsidR="00C4796B" w:rsidRPr="00C4796B" w14:paraId="1C31B482" w14:textId="77777777" w:rsidTr="00C4796B">
        <w:trPr>
          <w:trHeight w:val="300"/>
        </w:trPr>
        <w:tc>
          <w:tcPr>
            <w:tcW w:w="1748" w:type="dxa"/>
            <w:tcBorders>
              <w:top w:val="nil"/>
              <w:left w:val="single" w:sz="8" w:space="0" w:color="auto"/>
              <w:bottom w:val="single" w:sz="8" w:space="0" w:color="auto"/>
              <w:right w:val="nil"/>
            </w:tcBorders>
            <w:noWrap/>
            <w:vAlign w:val="center"/>
            <w:hideMark/>
          </w:tcPr>
          <w:p w14:paraId="4A4BCF99"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76" w:type="dxa"/>
            <w:tcBorders>
              <w:top w:val="nil"/>
              <w:left w:val="nil"/>
              <w:bottom w:val="single" w:sz="8" w:space="0" w:color="auto"/>
              <w:right w:val="nil"/>
            </w:tcBorders>
            <w:noWrap/>
            <w:vAlign w:val="center"/>
            <w:hideMark/>
          </w:tcPr>
          <w:p w14:paraId="59680D3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 </w:t>
            </w:r>
          </w:p>
        </w:tc>
        <w:tc>
          <w:tcPr>
            <w:tcW w:w="1636" w:type="dxa"/>
            <w:tcBorders>
              <w:top w:val="nil"/>
              <w:left w:val="nil"/>
              <w:bottom w:val="single" w:sz="8" w:space="0" w:color="auto"/>
              <w:right w:val="nil"/>
            </w:tcBorders>
            <w:noWrap/>
            <w:vAlign w:val="center"/>
            <w:hideMark/>
          </w:tcPr>
          <w:p w14:paraId="07D05273"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249.02</w:t>
            </w:r>
          </w:p>
        </w:tc>
        <w:tc>
          <w:tcPr>
            <w:tcW w:w="1636" w:type="dxa"/>
            <w:tcBorders>
              <w:top w:val="nil"/>
              <w:left w:val="nil"/>
              <w:bottom w:val="single" w:sz="8" w:space="0" w:color="auto"/>
              <w:right w:val="nil"/>
            </w:tcBorders>
            <w:noWrap/>
            <w:vAlign w:val="center"/>
            <w:hideMark/>
          </w:tcPr>
          <w:p w14:paraId="5DF7BA3A"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250.12</w:t>
            </w:r>
          </w:p>
        </w:tc>
        <w:tc>
          <w:tcPr>
            <w:tcW w:w="1636" w:type="dxa"/>
            <w:tcBorders>
              <w:top w:val="nil"/>
              <w:left w:val="nil"/>
              <w:bottom w:val="single" w:sz="8" w:space="0" w:color="auto"/>
              <w:right w:val="nil"/>
            </w:tcBorders>
            <w:noWrap/>
            <w:vAlign w:val="center"/>
            <w:hideMark/>
          </w:tcPr>
          <w:p w14:paraId="03B0229C"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1.1</w:t>
            </w:r>
          </w:p>
        </w:tc>
        <w:tc>
          <w:tcPr>
            <w:tcW w:w="1628" w:type="dxa"/>
            <w:tcBorders>
              <w:top w:val="nil"/>
              <w:left w:val="nil"/>
              <w:bottom w:val="single" w:sz="8" w:space="0" w:color="auto"/>
              <w:right w:val="single" w:sz="8" w:space="0" w:color="auto"/>
            </w:tcBorders>
            <w:noWrap/>
            <w:vAlign w:val="center"/>
            <w:hideMark/>
          </w:tcPr>
          <w:p w14:paraId="172C5E7E" w14:textId="77777777" w:rsidR="00C4796B" w:rsidRPr="00C4796B" w:rsidRDefault="00C4796B" w:rsidP="00C4796B">
            <w:pPr>
              <w:spacing w:line="240" w:lineRule="auto"/>
              <w:jc w:val="center"/>
              <w:rPr>
                <w:rFonts w:ascii="Aptos Narrow" w:eastAsia="Times New Roman" w:hAnsi="Aptos Narrow" w:cs="Times New Roman"/>
                <w:color w:val="000000"/>
              </w:rPr>
            </w:pPr>
            <w:r w:rsidRPr="00C4796B">
              <w:rPr>
                <w:rFonts w:ascii="Aptos Narrow" w:eastAsia="Times New Roman" w:hAnsi="Aptos Narrow" w:cs="Times New Roman"/>
                <w:color w:val="000000"/>
              </w:rPr>
              <w:t>10.49</w:t>
            </w:r>
          </w:p>
        </w:tc>
      </w:tr>
      <w:tr w:rsidR="00C4796B" w:rsidRPr="00C4796B" w14:paraId="601D97F6" w14:textId="77777777" w:rsidTr="00C4796B">
        <w:trPr>
          <w:trHeight w:val="290"/>
        </w:trPr>
        <w:tc>
          <w:tcPr>
            <w:tcW w:w="9960" w:type="dxa"/>
            <w:gridSpan w:val="6"/>
            <w:tcBorders>
              <w:top w:val="single" w:sz="8" w:space="0" w:color="auto"/>
              <w:left w:val="nil"/>
              <w:bottom w:val="nil"/>
              <w:right w:val="nil"/>
            </w:tcBorders>
            <w:vAlign w:val="center"/>
            <w:hideMark/>
          </w:tcPr>
          <w:p w14:paraId="39E6A390" w14:textId="77777777" w:rsidR="00C4796B" w:rsidRPr="00C4796B" w:rsidRDefault="00C4796B" w:rsidP="00C4796B">
            <w:pPr>
              <w:spacing w:line="240" w:lineRule="auto"/>
              <w:jc w:val="center"/>
              <w:rPr>
                <w:rFonts w:eastAsia="Times New Roman"/>
                <w:color w:val="000000"/>
                <w:sz w:val="18"/>
                <w:szCs w:val="18"/>
              </w:rPr>
            </w:pPr>
            <w:r w:rsidRPr="00C4796B">
              <w:rPr>
                <w:rFonts w:eastAsia="Times New Roman"/>
                <w:color w:val="000000"/>
                <w:sz w:val="18"/>
                <w:szCs w:val="18"/>
              </w:rPr>
              <w:t>¹ Intervals contain no more than 3 continuous metres grading less than 0.1 g/t gold.</w:t>
            </w:r>
          </w:p>
        </w:tc>
      </w:tr>
      <w:tr w:rsidR="00C4796B" w:rsidRPr="00C4796B" w14:paraId="5AB936BD" w14:textId="77777777" w:rsidTr="00C4796B">
        <w:trPr>
          <w:trHeight w:val="290"/>
        </w:trPr>
        <w:tc>
          <w:tcPr>
            <w:tcW w:w="9960" w:type="dxa"/>
            <w:gridSpan w:val="6"/>
            <w:tcBorders>
              <w:top w:val="nil"/>
              <w:left w:val="nil"/>
              <w:bottom w:val="nil"/>
              <w:right w:val="nil"/>
            </w:tcBorders>
            <w:hideMark/>
          </w:tcPr>
          <w:p w14:paraId="6A5BB199" w14:textId="3726653A" w:rsidR="00C4796B" w:rsidRPr="00C4796B" w:rsidRDefault="00C4796B" w:rsidP="005A342B">
            <w:pPr>
              <w:spacing w:line="240" w:lineRule="auto"/>
              <w:rPr>
                <w:rFonts w:eastAsia="Times New Roman"/>
                <w:color w:val="000000"/>
                <w:sz w:val="18"/>
                <w:szCs w:val="18"/>
              </w:rPr>
            </w:pPr>
          </w:p>
        </w:tc>
      </w:tr>
    </w:tbl>
    <w:p w14:paraId="6FE8FD74" w14:textId="57062A00" w:rsidR="00CA5B19" w:rsidRDefault="00CA5B19" w:rsidP="00AF4C09">
      <w:pPr>
        <w:spacing w:line="240" w:lineRule="auto"/>
        <w:jc w:val="both"/>
        <w:rPr>
          <w:b/>
          <w:bCs/>
        </w:rPr>
      </w:pPr>
      <w:r w:rsidRPr="005676BE">
        <w:rPr>
          <w:b/>
          <w:bCs/>
        </w:rPr>
        <w:t>Table 1. Drill</w:t>
      </w:r>
      <w:r w:rsidR="00D026AB">
        <w:rPr>
          <w:b/>
          <w:bCs/>
        </w:rPr>
        <w:t xml:space="preserve"> intervals from reported batch of drill hole results.</w:t>
      </w:r>
      <w:r w:rsidR="00661FFB">
        <w:rPr>
          <w:b/>
          <w:bCs/>
        </w:rPr>
        <w:t xml:space="preserve"> There is insufficient geological information to estimate a true width for the drill intercepts reported.</w:t>
      </w:r>
    </w:p>
    <w:p w14:paraId="6710FDDA" w14:textId="77777777" w:rsidR="00B9514A" w:rsidRDefault="00B9514A" w:rsidP="00AF4C09">
      <w:pPr>
        <w:spacing w:line="240" w:lineRule="auto"/>
        <w:jc w:val="both"/>
        <w:rPr>
          <w:b/>
          <w:bCs/>
        </w:rPr>
      </w:pPr>
    </w:p>
    <w:p w14:paraId="4689FAD7" w14:textId="40E23F8F" w:rsidR="00BF5C92" w:rsidRPr="00BF5C92" w:rsidRDefault="00BF5C92" w:rsidP="00BF5C92">
      <w:pPr>
        <w:pStyle w:val="Heading2"/>
        <w:rPr>
          <w:color w:val="000000"/>
          <w:sz w:val="24"/>
          <w:szCs w:val="24"/>
        </w:rPr>
      </w:pPr>
      <w:r w:rsidRPr="00BF5C92">
        <w:rPr>
          <w:rStyle w:val="Strong"/>
          <w:color w:val="000000"/>
          <w:sz w:val="24"/>
          <w:szCs w:val="24"/>
        </w:rPr>
        <w:lastRenderedPageBreak/>
        <w:t>1.</w:t>
      </w:r>
      <w:r>
        <w:rPr>
          <w:rStyle w:val="Strong"/>
          <w:color w:val="000000"/>
          <w:sz w:val="24"/>
          <w:szCs w:val="24"/>
        </w:rPr>
        <w:t xml:space="preserve"> </w:t>
      </w:r>
      <w:r w:rsidRPr="00BF5C92">
        <w:rPr>
          <w:rStyle w:val="Strong"/>
          <w:color w:val="000000"/>
          <w:sz w:val="24"/>
          <w:szCs w:val="24"/>
        </w:rPr>
        <w:t>Mustang Hill – New Structural Splay Confirmed</w:t>
      </w:r>
    </w:p>
    <w:p w14:paraId="73A9ADCE" w14:textId="77777777" w:rsidR="00BF5C92" w:rsidRDefault="00BF5C92" w:rsidP="00AF4C09">
      <w:pPr>
        <w:spacing w:line="240" w:lineRule="auto"/>
        <w:jc w:val="both"/>
        <w:rPr>
          <w:b/>
          <w:bCs/>
        </w:rPr>
      </w:pPr>
    </w:p>
    <w:p w14:paraId="0C85A888" w14:textId="3668F5C7" w:rsidR="002833F3" w:rsidRDefault="002833F3" w:rsidP="00AF4C09">
      <w:pPr>
        <w:spacing w:line="240" w:lineRule="auto"/>
        <w:jc w:val="both"/>
      </w:pPr>
      <w:r w:rsidRPr="00AC6AF5">
        <w:rPr>
          <w:b/>
          <w:bCs/>
        </w:rPr>
        <w:t>Hole 25MN-02</w:t>
      </w:r>
      <w:r w:rsidR="00B13E20" w:rsidRPr="00AC6AF5">
        <w:rPr>
          <w:b/>
          <w:bCs/>
        </w:rPr>
        <w:t>1</w:t>
      </w:r>
      <w:r w:rsidR="00B13E20">
        <w:t xml:space="preserve">, </w:t>
      </w:r>
      <w:r>
        <w:t>drilled at Mustang Hill</w:t>
      </w:r>
      <w:r w:rsidR="00B13E20">
        <w:t>,</w:t>
      </w:r>
      <w:r>
        <w:t xml:space="preserve"> intersected 18.14 m</w:t>
      </w:r>
      <w:r w:rsidR="001B5205">
        <w:t xml:space="preserve"> grading 1.52 g/t gold from 176.78 m and this was separated by 3.96m from an overlying interval of 17.19 m grading 0.74 g/t gold from 155.63 m. Combining the</w:t>
      </w:r>
      <w:r w:rsidR="00D026AB">
        <w:t>se</w:t>
      </w:r>
      <w:r w:rsidR="001B5205">
        <w:t xml:space="preserve"> two intervals results in an </w:t>
      </w:r>
      <w:r w:rsidR="00D026AB">
        <w:t xml:space="preserve">intersection </w:t>
      </w:r>
      <w:r w:rsidR="001B5205">
        <w:t xml:space="preserve">of </w:t>
      </w:r>
      <w:r w:rsidR="001B5205" w:rsidRPr="005676BE">
        <w:rPr>
          <w:b/>
          <w:bCs/>
        </w:rPr>
        <w:t>39.01 m grading 1.03 g/t gold from 155.63 m.</w:t>
      </w:r>
      <w:r w:rsidR="001B5205">
        <w:rPr>
          <w:b/>
          <w:bCs/>
        </w:rPr>
        <w:t xml:space="preserve"> </w:t>
      </w:r>
      <w:r w:rsidR="001B5205">
        <w:t>This intersect represents a new zone of mineralization, located approximately 100 m from the nearest Inferred resource blocks, located laterally to the southwest.</w:t>
      </w:r>
      <w:r w:rsidR="00B13E20">
        <w:t xml:space="preserve"> The hole also intersected 16.89 m grading 0.48 g/t gold from 76.69 m that represents a new zone of near surface mineralization.</w:t>
      </w:r>
    </w:p>
    <w:p w14:paraId="0E8F4E01" w14:textId="77777777" w:rsidR="00BF5C92" w:rsidRDefault="00BF5C92" w:rsidP="00AF4C09">
      <w:pPr>
        <w:spacing w:line="240" w:lineRule="auto"/>
        <w:jc w:val="both"/>
      </w:pPr>
    </w:p>
    <w:p w14:paraId="74D5E1BB" w14:textId="77777777" w:rsidR="00BF5C92" w:rsidRDefault="00BF5C92" w:rsidP="00BF5C92">
      <w:pPr>
        <w:spacing w:line="240" w:lineRule="auto"/>
        <w:jc w:val="both"/>
      </w:pPr>
      <w:r w:rsidRPr="00AC6AF5">
        <w:rPr>
          <w:b/>
          <w:bCs/>
        </w:rPr>
        <w:t>Hole 25MN-022</w:t>
      </w:r>
      <w:r>
        <w:t xml:space="preserve">, drilled at Mustang Hill, intersected </w:t>
      </w:r>
      <w:r w:rsidRPr="005868DB">
        <w:rPr>
          <w:b/>
          <w:bCs/>
        </w:rPr>
        <w:t xml:space="preserve">3.23 m grading 21.82 g/t gold </w:t>
      </w:r>
      <w:r w:rsidRPr="00BC09A0">
        <w:t>from 168.86 m</w:t>
      </w:r>
      <w:r>
        <w:t xml:space="preserve"> that included a single 1.40 m sample grading 159.94 g/t gold. When a 70 g/t gold top cut is applied, this interval is reported as </w:t>
      </w:r>
      <w:r w:rsidRPr="005868DB">
        <w:rPr>
          <w:b/>
          <w:bCs/>
        </w:rPr>
        <w:t>3.23 m grading 9.95 g/t gold</w:t>
      </w:r>
      <w:r>
        <w:t xml:space="preserve">. Below this, intervals of 2.71 m grading 10.18 g/t gold from 177.39 m and 4.88 m grading 1.12 g/t gold were intersected. These three intervals are all situated approximately 50 m from the nearest Inferred resource blocks and may represent a newly recognised splay of the main Reliance Fault. </w:t>
      </w:r>
    </w:p>
    <w:p w14:paraId="4986F07C" w14:textId="77777777" w:rsidR="00CA5B19" w:rsidRDefault="00CA5B19" w:rsidP="00AF4C09">
      <w:pPr>
        <w:spacing w:line="240" w:lineRule="auto"/>
        <w:jc w:val="both"/>
      </w:pPr>
    </w:p>
    <w:p w14:paraId="1F63FD3F" w14:textId="37F131A8" w:rsidR="00854EF0" w:rsidRPr="00854EF0" w:rsidRDefault="00AA4E7D" w:rsidP="00854EF0">
      <w:pPr>
        <w:spacing w:line="240" w:lineRule="auto"/>
        <w:jc w:val="both"/>
      </w:pPr>
      <w:r>
        <w:rPr>
          <w:noProof/>
        </w:rPr>
        <w:drawing>
          <wp:inline distT="0" distB="0" distL="0" distR="0" wp14:anchorId="3B0AD43F" wp14:editId="5E3AD8D2">
            <wp:extent cx="5933404" cy="3800929"/>
            <wp:effectExtent l="38100" t="38100" r="86995" b="85725"/>
            <wp:docPr id="114152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21481" name="Picture 1" descr="A close-up of a diagra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53539" cy="38138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CD6C0E1" w14:textId="77777777" w:rsidR="00854EF0" w:rsidRDefault="00854EF0" w:rsidP="00AF4C09">
      <w:pPr>
        <w:spacing w:line="240" w:lineRule="auto"/>
        <w:jc w:val="both"/>
      </w:pPr>
    </w:p>
    <w:p w14:paraId="0955648C" w14:textId="20E68EB1" w:rsidR="00CA5B19" w:rsidRDefault="00CA5B19" w:rsidP="00AF4C09">
      <w:pPr>
        <w:spacing w:line="240" w:lineRule="auto"/>
        <w:jc w:val="both"/>
        <w:rPr>
          <w:b/>
          <w:bCs/>
        </w:rPr>
      </w:pPr>
      <w:r w:rsidRPr="005676BE">
        <w:rPr>
          <w:b/>
          <w:bCs/>
        </w:rPr>
        <w:t xml:space="preserve">Figure 2. Section </w:t>
      </w:r>
      <w:r w:rsidR="004E5C43">
        <w:rPr>
          <w:b/>
          <w:bCs/>
        </w:rPr>
        <w:t>A-A’ with</w:t>
      </w:r>
      <w:r w:rsidR="00D026AB">
        <w:rPr>
          <w:b/>
          <w:bCs/>
        </w:rPr>
        <w:t xml:space="preserve"> background with Inferred Mineral Resource block model and highlighting intercepts in reported batch of drill hole results.</w:t>
      </w:r>
    </w:p>
    <w:p w14:paraId="453370C0" w14:textId="77777777" w:rsidR="00BF5C92" w:rsidRDefault="00BF5C92" w:rsidP="00AF4C09">
      <w:pPr>
        <w:spacing w:line="240" w:lineRule="auto"/>
        <w:jc w:val="both"/>
        <w:rPr>
          <w:b/>
          <w:bCs/>
        </w:rPr>
      </w:pPr>
    </w:p>
    <w:p w14:paraId="3A83395F" w14:textId="16BEDF46" w:rsidR="00BC09A0" w:rsidRDefault="00BF5C92" w:rsidP="00BC09A0">
      <w:pPr>
        <w:spacing w:line="240" w:lineRule="auto"/>
        <w:jc w:val="both"/>
        <w:rPr>
          <w:b/>
          <w:bCs/>
          <w:sz w:val="24"/>
          <w:szCs w:val="24"/>
        </w:rPr>
      </w:pPr>
      <w:r>
        <w:rPr>
          <w:b/>
          <w:bCs/>
          <w:sz w:val="24"/>
          <w:szCs w:val="24"/>
        </w:rPr>
        <w:t xml:space="preserve">2. </w:t>
      </w:r>
      <w:r w:rsidRPr="00BF5C92">
        <w:rPr>
          <w:b/>
          <w:bCs/>
          <w:sz w:val="24"/>
          <w:szCs w:val="24"/>
        </w:rPr>
        <w:t>Gap Zone – Continuity Confirme</w:t>
      </w:r>
      <w:r w:rsidR="008226B6">
        <w:rPr>
          <w:b/>
          <w:bCs/>
          <w:sz w:val="24"/>
          <w:szCs w:val="24"/>
        </w:rPr>
        <w:t>d</w:t>
      </w:r>
    </w:p>
    <w:p w14:paraId="0469B4FC" w14:textId="77777777" w:rsidR="008226B6" w:rsidRPr="008226B6" w:rsidRDefault="008226B6" w:rsidP="00BC09A0">
      <w:pPr>
        <w:spacing w:line="240" w:lineRule="auto"/>
        <w:jc w:val="both"/>
        <w:rPr>
          <w:b/>
          <w:bCs/>
          <w:sz w:val="24"/>
          <w:szCs w:val="24"/>
        </w:rPr>
      </w:pPr>
    </w:p>
    <w:p w14:paraId="573CC1FC" w14:textId="4101BDFF" w:rsidR="00BC09A0" w:rsidRPr="001B5205" w:rsidRDefault="00BC09A0" w:rsidP="00BC09A0">
      <w:pPr>
        <w:spacing w:line="240" w:lineRule="auto"/>
        <w:jc w:val="both"/>
      </w:pPr>
      <w:r w:rsidRPr="00BC09A0">
        <w:rPr>
          <w:b/>
          <w:bCs/>
        </w:rPr>
        <w:t>Hole 25MN-20</w:t>
      </w:r>
      <w:r>
        <w:t xml:space="preserve">, drilled in the Gap Zone, intersected </w:t>
      </w:r>
      <w:r w:rsidRPr="00BC09A0">
        <w:rPr>
          <w:b/>
          <w:bCs/>
        </w:rPr>
        <w:t xml:space="preserve">36.97 m, grading 0.94 g/t gold </w:t>
      </w:r>
      <w:r>
        <w:t xml:space="preserve">from 162.95 m and confirmed the continuity of mineralization and this confidence is expected to add tonnes to </w:t>
      </w:r>
      <w:r>
        <w:lastRenderedPageBreak/>
        <w:t xml:space="preserve">the existing Inferred resource in this area, located between the West Pit and the </w:t>
      </w:r>
      <w:proofErr w:type="spellStart"/>
      <w:r>
        <w:t>Goldwedge</w:t>
      </w:r>
      <w:proofErr w:type="spellEnd"/>
      <w:r>
        <w:t xml:space="preserve"> underground mine.</w:t>
      </w:r>
    </w:p>
    <w:p w14:paraId="12550068" w14:textId="77777777" w:rsidR="00B13E20" w:rsidRDefault="00B13E20" w:rsidP="00AF4C09">
      <w:pPr>
        <w:spacing w:line="240" w:lineRule="auto"/>
        <w:jc w:val="both"/>
      </w:pPr>
    </w:p>
    <w:p w14:paraId="497C7F14" w14:textId="77777777" w:rsidR="00854EF0" w:rsidRDefault="00854EF0" w:rsidP="00AF4C09">
      <w:pPr>
        <w:spacing w:line="240" w:lineRule="auto"/>
        <w:jc w:val="both"/>
      </w:pPr>
    </w:p>
    <w:p w14:paraId="2A1ACBFF" w14:textId="7E9160A5" w:rsidR="00854EF0" w:rsidRDefault="005A742E" w:rsidP="00AF4C09">
      <w:pPr>
        <w:spacing w:line="240" w:lineRule="auto"/>
        <w:jc w:val="both"/>
      </w:pPr>
      <w:r>
        <w:rPr>
          <w:noProof/>
        </w:rPr>
        <w:drawing>
          <wp:inline distT="0" distB="0" distL="0" distR="0" wp14:anchorId="2A358D68" wp14:editId="63777B83">
            <wp:extent cx="5967018" cy="3721100"/>
            <wp:effectExtent l="38100" t="38100" r="91440" b="88900"/>
            <wp:docPr id="1209297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97150" name="Picture 2" descr="A map of a mountai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95904" cy="37391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37B1587" w14:textId="2CBFC0B2" w:rsidR="00CA5B19" w:rsidRPr="00CA5B19" w:rsidRDefault="00CA5B19" w:rsidP="00CA5B19">
      <w:pPr>
        <w:spacing w:line="240" w:lineRule="auto"/>
        <w:jc w:val="both"/>
        <w:rPr>
          <w:b/>
          <w:bCs/>
        </w:rPr>
      </w:pPr>
      <w:r w:rsidRPr="005676BE">
        <w:rPr>
          <w:b/>
          <w:bCs/>
        </w:rPr>
        <w:t xml:space="preserve">Figure 3. Section </w:t>
      </w:r>
      <w:r w:rsidR="004E5C43" w:rsidRPr="005676BE">
        <w:rPr>
          <w:b/>
          <w:bCs/>
        </w:rPr>
        <w:t xml:space="preserve">B-B’ </w:t>
      </w:r>
      <w:r w:rsidR="004E5C43">
        <w:rPr>
          <w:b/>
          <w:bCs/>
        </w:rPr>
        <w:t>with background with Inferred Mineral Resource block model and highlighting intercepts in drill holes 25MN-021 and 25MN-022.</w:t>
      </w:r>
    </w:p>
    <w:p w14:paraId="6A4A67C0" w14:textId="77777777" w:rsidR="00CA5B19" w:rsidRDefault="00CA5B19" w:rsidP="00AF4C09">
      <w:pPr>
        <w:spacing w:line="240" w:lineRule="auto"/>
        <w:jc w:val="both"/>
      </w:pPr>
    </w:p>
    <w:p w14:paraId="26AB78EA" w14:textId="6F34E3E8" w:rsidR="00BF5C92" w:rsidRPr="00BF5C92" w:rsidRDefault="00BF5C92" w:rsidP="00AF4C09">
      <w:pPr>
        <w:spacing w:line="240" w:lineRule="auto"/>
        <w:jc w:val="both"/>
        <w:rPr>
          <w:b/>
          <w:bCs/>
          <w:sz w:val="24"/>
          <w:szCs w:val="24"/>
        </w:rPr>
      </w:pPr>
      <w:r w:rsidRPr="00BF5C92">
        <w:rPr>
          <w:b/>
          <w:bCs/>
          <w:sz w:val="24"/>
          <w:szCs w:val="24"/>
        </w:rPr>
        <w:t>3. Reliance Trend – Step-outs Demonstrate Scale</w:t>
      </w:r>
    </w:p>
    <w:p w14:paraId="594847E5" w14:textId="77777777" w:rsidR="00CA5B19" w:rsidRDefault="00CA5B19" w:rsidP="00AF4C09">
      <w:pPr>
        <w:spacing w:line="240" w:lineRule="auto"/>
        <w:jc w:val="both"/>
      </w:pPr>
    </w:p>
    <w:p w14:paraId="1F2EB470" w14:textId="1661F7A3" w:rsidR="005868DB" w:rsidRDefault="005868DB" w:rsidP="00AF4C09">
      <w:pPr>
        <w:spacing w:line="240" w:lineRule="auto"/>
        <w:jc w:val="both"/>
      </w:pPr>
      <w:r w:rsidRPr="00AC6AF5">
        <w:rPr>
          <w:b/>
          <w:bCs/>
        </w:rPr>
        <w:t>Hole 25MN-25</w:t>
      </w:r>
      <w:r w:rsidR="00D02D73">
        <w:t>, drilled to the northwest</w:t>
      </w:r>
      <w:r w:rsidR="004E5C43">
        <w:t>,</w:t>
      </w:r>
      <w:r w:rsidR="00CE0B74">
        <w:t xml:space="preserve"> i</w:t>
      </w:r>
      <w:r w:rsidR="004F7C40">
        <w:t xml:space="preserve">ntersected </w:t>
      </w:r>
      <w:r w:rsidR="004F7C40" w:rsidRPr="00A6531A">
        <w:rPr>
          <w:b/>
          <w:bCs/>
        </w:rPr>
        <w:t>four</w:t>
      </w:r>
      <w:r w:rsidR="004F7C40">
        <w:t xml:space="preserve"> </w:t>
      </w:r>
      <w:r w:rsidR="00D02D73">
        <w:t>intercepts:</w:t>
      </w:r>
      <w:r w:rsidR="004F7C40">
        <w:t xml:space="preserve"> 9.88 m grading 0.35 g/t gold from 82.78 m, 13.93 m grading 0.88 g/t gold from 150.82 m, </w:t>
      </w:r>
      <w:r w:rsidR="004F7C40" w:rsidRPr="004F7C40">
        <w:rPr>
          <w:b/>
          <w:bCs/>
        </w:rPr>
        <w:t>3.47 m grading 6.69 g/t gold</w:t>
      </w:r>
      <w:r w:rsidR="004F7C40">
        <w:t xml:space="preserve"> and 4.54 m grading 0.34 g/t gold from 196.78 m. The boundary of the Inferred resource is complex in this area, but these holes are expected to convert additional tonnes into a more coherent volume.</w:t>
      </w:r>
    </w:p>
    <w:p w14:paraId="5B5B4AE3" w14:textId="77777777" w:rsidR="00D02D73" w:rsidRDefault="00D02D73" w:rsidP="00AF4C09">
      <w:pPr>
        <w:spacing w:line="240" w:lineRule="auto"/>
        <w:jc w:val="both"/>
      </w:pPr>
    </w:p>
    <w:p w14:paraId="464E22EA" w14:textId="4765DA0B" w:rsidR="00D02D73" w:rsidRDefault="00D02D73" w:rsidP="00AF4C09">
      <w:pPr>
        <w:spacing w:line="240" w:lineRule="auto"/>
        <w:jc w:val="both"/>
      </w:pPr>
      <w:r w:rsidRPr="00AC6AF5">
        <w:rPr>
          <w:b/>
          <w:bCs/>
        </w:rPr>
        <w:t>Hole 25MN-26</w:t>
      </w:r>
      <w:r>
        <w:t>, drilled to the northwest</w:t>
      </w:r>
      <w:r w:rsidR="004E5C43">
        <w:t>,</w:t>
      </w:r>
      <w:r w:rsidR="00CE0B74">
        <w:t xml:space="preserve"> </w:t>
      </w:r>
      <w:r>
        <w:t xml:space="preserve">intersected </w:t>
      </w:r>
      <w:r w:rsidR="00A6531A" w:rsidRPr="00A6531A">
        <w:rPr>
          <w:b/>
          <w:bCs/>
        </w:rPr>
        <w:t>five</w:t>
      </w:r>
      <w:r w:rsidR="00A6531A">
        <w:t xml:space="preserve"> intercepts</w:t>
      </w:r>
      <w:r w:rsidR="00AC6AF5">
        <w:t xml:space="preserve"> that step out on the Inferred resource</w:t>
      </w:r>
      <w:r w:rsidR="00A6531A">
        <w:t>:</w:t>
      </w:r>
      <w:r w:rsidR="00194662">
        <w:t xml:space="preserve"> 7.28m grading 0.29 g/t gold from 138.10 m, 2.77m grading 3.11 g/t gold from 156.36 m, 3.05 m grading 1.11 g/t gold from 166.73 m, </w:t>
      </w:r>
      <w:r w:rsidR="00AC6AF5">
        <w:t xml:space="preserve">8.72 m grading </w:t>
      </w:r>
      <w:r w:rsidR="00194662">
        <w:t xml:space="preserve">2.07 g/t gold </w:t>
      </w:r>
      <w:r w:rsidR="00AC6AF5">
        <w:t xml:space="preserve">from 180.81 m and 1.10 m grading 10.49 g/t gold from 249.02 m. The approximate distance from the nearest resource block for each interval is, </w:t>
      </w:r>
      <w:r w:rsidR="00BC09A0">
        <w:t>respectively, 35</w:t>
      </w:r>
      <w:r w:rsidR="00AC6AF5">
        <w:t xml:space="preserve"> m, 20 m, 20 m, 25 m and 60 m.</w:t>
      </w:r>
    </w:p>
    <w:p w14:paraId="051DF9D6" w14:textId="77777777" w:rsidR="004E5C43" w:rsidRDefault="004E5C43" w:rsidP="004E5C43">
      <w:pPr>
        <w:keepNext/>
        <w:spacing w:line="240" w:lineRule="auto"/>
        <w:jc w:val="center"/>
        <w:rPr>
          <w:noProof/>
        </w:rPr>
      </w:pPr>
    </w:p>
    <w:p w14:paraId="6A063C17" w14:textId="77777777" w:rsidR="004E5C43" w:rsidRDefault="004E5C43" w:rsidP="004E5C43">
      <w:pPr>
        <w:keepNext/>
        <w:spacing w:line="240" w:lineRule="auto"/>
        <w:jc w:val="center"/>
        <w:rPr>
          <w:noProof/>
        </w:rPr>
      </w:pPr>
      <w:r>
        <w:rPr>
          <w:noProof/>
        </w:rPr>
        <w:drawing>
          <wp:inline distT="0" distB="0" distL="0" distR="0" wp14:anchorId="7A5BF21B" wp14:editId="2EB85051">
            <wp:extent cx="6022943" cy="4613729"/>
            <wp:effectExtent l="38100" t="38100" r="86360" b="85725"/>
            <wp:docPr id="50334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25567" name="Picture 4" descr="A diagram of a scorpi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049046" cy="463372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2DCB646" w14:textId="293EA41F" w:rsidR="00547C8D" w:rsidRDefault="004E5C43" w:rsidP="00547C8D">
      <w:pPr>
        <w:spacing w:line="240" w:lineRule="auto"/>
        <w:jc w:val="both"/>
        <w:rPr>
          <w:b/>
          <w:bCs/>
        </w:rPr>
      </w:pPr>
      <w:r w:rsidRPr="005676BE">
        <w:rPr>
          <w:b/>
          <w:bCs/>
        </w:rPr>
        <w:t xml:space="preserve">Figure 4. Section C-C’ </w:t>
      </w:r>
      <w:r w:rsidRPr="004E5C43">
        <w:rPr>
          <w:b/>
          <w:bCs/>
        </w:rPr>
        <w:t>with</w:t>
      </w:r>
      <w:r>
        <w:rPr>
          <w:b/>
          <w:bCs/>
        </w:rPr>
        <w:t xml:space="preserve"> background with Inferred Mineral Resource block model and highlighting intercepts in drill holes 25MN-026 and 25MN-022. </w:t>
      </w:r>
    </w:p>
    <w:p w14:paraId="0446D81E" w14:textId="77777777" w:rsidR="00411785" w:rsidRDefault="00411785" w:rsidP="00547C8D">
      <w:pPr>
        <w:spacing w:line="240" w:lineRule="auto"/>
        <w:jc w:val="both"/>
      </w:pPr>
    </w:p>
    <w:p w14:paraId="084962D7" w14:textId="172543C2" w:rsidR="00547C8D" w:rsidRDefault="00547C8D" w:rsidP="00547C8D">
      <w:pPr>
        <w:spacing w:line="240" w:lineRule="auto"/>
        <w:jc w:val="both"/>
      </w:pPr>
      <w:r w:rsidRPr="00AC6AF5">
        <w:rPr>
          <w:b/>
          <w:bCs/>
        </w:rPr>
        <w:t>Hole 25MN-2</w:t>
      </w:r>
      <w:r>
        <w:rPr>
          <w:b/>
          <w:bCs/>
        </w:rPr>
        <w:t>4</w:t>
      </w:r>
      <w:r>
        <w:t>, drilled to the northwest</w:t>
      </w:r>
      <w:r w:rsidR="004E5C43">
        <w:t xml:space="preserve">, </w:t>
      </w:r>
      <w:r>
        <w:t>intersected 9.00 m grading 1.93 g/t gold from 177.39 m, and was a 25m step-out hole on the existing Inferred resource along the trace of the Reliance fault zone.</w:t>
      </w:r>
    </w:p>
    <w:p w14:paraId="1E42BA3A" w14:textId="77777777" w:rsidR="00BC09A0" w:rsidRDefault="00BC09A0" w:rsidP="00AF4C09">
      <w:pPr>
        <w:spacing w:line="240" w:lineRule="auto"/>
        <w:jc w:val="both"/>
      </w:pPr>
    </w:p>
    <w:p w14:paraId="0BAE3A27" w14:textId="41A8710C" w:rsidR="00464256" w:rsidRDefault="00BC09A0" w:rsidP="00533575">
      <w:pPr>
        <w:spacing w:line="240" w:lineRule="auto"/>
        <w:jc w:val="both"/>
        <w:rPr>
          <w:noProof/>
        </w:rPr>
      </w:pPr>
      <w:r w:rsidRPr="00AC6AF5">
        <w:rPr>
          <w:b/>
          <w:bCs/>
        </w:rPr>
        <w:t>Hole 25MN-2</w:t>
      </w:r>
      <w:r>
        <w:rPr>
          <w:b/>
          <w:bCs/>
        </w:rPr>
        <w:t>3</w:t>
      </w:r>
      <w:r>
        <w:t xml:space="preserve">, drilled to the </w:t>
      </w:r>
      <w:r w:rsidR="00411785">
        <w:t>northwest, intersected</w:t>
      </w:r>
      <w:r>
        <w:t xml:space="preserve"> 4.88 m grading 2.59 g/t gold from 121.92 m, and was a 100m step-out hole </w:t>
      </w:r>
      <w:r w:rsidR="00547C8D">
        <w:t>on the existing Inferred resource, indicating it pinching out in this direction.</w:t>
      </w:r>
      <w:r w:rsidR="004E5C43">
        <w:rPr>
          <w:noProof/>
        </w:rPr>
        <w:br w:type="page"/>
      </w:r>
    </w:p>
    <w:p w14:paraId="07851A8B" w14:textId="77777777" w:rsidR="00533575" w:rsidRPr="00202B75" w:rsidRDefault="00533575" w:rsidP="00533575">
      <w:pPr>
        <w:spacing w:line="240" w:lineRule="auto"/>
        <w:rPr>
          <w:b/>
          <w:bCs/>
        </w:rPr>
      </w:pPr>
      <w:r w:rsidRPr="00756D8F">
        <w:rPr>
          <w:b/>
          <w:bCs/>
        </w:rPr>
        <w:lastRenderedPageBreak/>
        <w:t>Quality Assurance/Quality Control and Sampling Procedures</w:t>
      </w:r>
    </w:p>
    <w:p w14:paraId="754A5359" w14:textId="77777777" w:rsidR="00AF4C09" w:rsidRDefault="00AF4C09" w:rsidP="00AF4C09">
      <w:pPr>
        <w:spacing w:line="240" w:lineRule="auto"/>
        <w:jc w:val="both"/>
      </w:pPr>
    </w:p>
    <w:p w14:paraId="3F6C712D" w14:textId="5432ECED" w:rsidR="00AF4C09" w:rsidRDefault="00AF4C09" w:rsidP="00AF4C09">
      <w:pPr>
        <w:keepNext/>
        <w:keepLines/>
        <w:spacing w:line="240" w:lineRule="auto"/>
        <w:ind w:left="-5"/>
        <w:jc w:val="both"/>
      </w:pPr>
      <w:r w:rsidRPr="00817361">
        <w:t>HQ sized diamond drill core samples were cut in halves</w:t>
      </w:r>
      <w:r>
        <w:t>,</w:t>
      </w:r>
      <w:r w:rsidRPr="00817361">
        <w:t xml:space="preserve"> </w:t>
      </w:r>
      <w:r>
        <w:t>then</w:t>
      </w:r>
      <w:r w:rsidRPr="00817361">
        <w:t xml:space="preserve"> bagged and secured with security tags to ensure integrity during transportation to </w:t>
      </w:r>
      <w:r w:rsidRPr="00F6605B">
        <w:t xml:space="preserve">the Reno, NV, </w:t>
      </w:r>
      <w:r>
        <w:t>Paragon</w:t>
      </w:r>
      <w:r w:rsidRPr="00F6605B">
        <w:t xml:space="preserve"> Geochemi</w:t>
      </w:r>
      <w:r>
        <w:t>cal</w:t>
      </w:r>
      <w:r w:rsidRPr="00F6605B">
        <w:t xml:space="preserve"> facility for preparation. For </w:t>
      </w:r>
      <w:r w:rsidR="000735C2">
        <w:t>q</w:t>
      </w:r>
      <w:r w:rsidRPr="00F6605B">
        <w:t xml:space="preserve">uality </w:t>
      </w:r>
      <w:r w:rsidR="000735C2">
        <w:t>a</w:t>
      </w:r>
      <w:r w:rsidRPr="00F6605B">
        <w:t>ssurance</w:t>
      </w:r>
      <w:r>
        <w:t xml:space="preserve"> (“</w:t>
      </w:r>
      <w:r w:rsidRPr="003534C6">
        <w:rPr>
          <w:b/>
          <w:bCs/>
        </w:rPr>
        <w:t>QA</w:t>
      </w:r>
      <w:r>
        <w:t>”)</w:t>
      </w:r>
      <w:r w:rsidRPr="00F6605B">
        <w:t xml:space="preserve">, unmarked </w:t>
      </w:r>
      <w:r>
        <w:t xml:space="preserve">coarse </w:t>
      </w:r>
      <w:r w:rsidRPr="00F6605B">
        <w:t>blanks</w:t>
      </w:r>
      <w:r>
        <w:t xml:space="preserve">, </w:t>
      </w:r>
      <w:r w:rsidRPr="00F6605B">
        <w:t xml:space="preserve">unmarked certified reference materials, and requested laboratory duplicates were inserted into the sampling sequence. QA samples were systematically inserted into each batch of samples, amounting to approximately </w:t>
      </w:r>
      <w:r>
        <w:t>8</w:t>
      </w:r>
      <w:r w:rsidRPr="00F6605B">
        <w:t xml:space="preserve">% of the run of samples. Samples were analyzed for gold using method </w:t>
      </w:r>
      <w:r>
        <w:t>PA</w:t>
      </w:r>
      <w:r w:rsidRPr="00F6605B">
        <w:t>-A</w:t>
      </w:r>
      <w:r>
        <w:t xml:space="preserve">U02 (~500 g), </w:t>
      </w:r>
      <w:r w:rsidRPr="00F6605B">
        <w:t xml:space="preserve">a </w:t>
      </w:r>
      <w:r>
        <w:t xml:space="preserve">two-cycle </w:t>
      </w:r>
      <w:proofErr w:type="spellStart"/>
      <w:r>
        <w:t>PhotonAssay</w:t>
      </w:r>
      <w:r>
        <w:rPr>
          <w:vertAlign w:val="superscript"/>
        </w:rPr>
        <w:t>TM</w:t>
      </w:r>
      <w:proofErr w:type="spellEnd"/>
      <w:r>
        <w:t xml:space="preserve"> analysis of crushed material (70% passing 2 mm).</w:t>
      </w:r>
      <w:r w:rsidRPr="00F6605B">
        <w:t xml:space="preserve"> All </w:t>
      </w:r>
      <w:r>
        <w:t>Paragon Geochemical</w:t>
      </w:r>
      <w:r w:rsidRPr="00F6605B">
        <w:t xml:space="preserve"> facilities comply with </w:t>
      </w:r>
      <w:r w:rsidRPr="008021BD">
        <w:t>ISO 17025:2017</w:t>
      </w:r>
      <w:r w:rsidRPr="00F6605B">
        <w:t xml:space="preserve">. </w:t>
      </w:r>
    </w:p>
    <w:p w14:paraId="790BE97F" w14:textId="77777777" w:rsidR="001B66F5" w:rsidRDefault="001B66F5" w:rsidP="00AF4C09">
      <w:pPr>
        <w:keepNext/>
        <w:keepLines/>
        <w:spacing w:line="240" w:lineRule="auto"/>
        <w:ind w:left="-5"/>
        <w:jc w:val="both"/>
      </w:pPr>
    </w:p>
    <w:p w14:paraId="0BAED111" w14:textId="77777777" w:rsidR="00F61533" w:rsidRPr="00A20680" w:rsidRDefault="00F61533" w:rsidP="00516A24">
      <w:pPr>
        <w:keepNext/>
        <w:spacing w:line="240" w:lineRule="auto"/>
        <w:jc w:val="both"/>
        <w:rPr>
          <w:b/>
          <w:bCs/>
        </w:rPr>
      </w:pPr>
      <w:r w:rsidRPr="00A20680">
        <w:rPr>
          <w:b/>
          <w:bCs/>
        </w:rPr>
        <w:t>About the Manhattan District</w:t>
      </w:r>
    </w:p>
    <w:p w14:paraId="2B75F782" w14:textId="4AC8B946" w:rsidR="00CC00A0" w:rsidRPr="00102060" w:rsidRDefault="00CE0B74" w:rsidP="00102060">
      <w:pPr>
        <w:spacing w:before="100" w:beforeAutospacing="1" w:after="100" w:afterAutospacing="1" w:line="240" w:lineRule="auto"/>
        <w:jc w:val="both"/>
        <w:rPr>
          <w:rFonts w:eastAsia="Times New Roman"/>
          <w:lang w:eastAsia="en-US"/>
        </w:rPr>
      </w:pPr>
      <w:r w:rsidRPr="00CE0B74">
        <w:rPr>
          <w:rFonts w:eastAsia="Times New Roman"/>
          <w:lang w:eastAsia="en-US"/>
        </w:rPr>
        <w:t xml:space="preserve">Manhattan, located in the Walker Lane Trend of Nevada, USA, is road accessible and lies approximately 20 kilometers south of the operating </w:t>
      </w:r>
      <w:hyperlink r:id="rId12" w:anchor="americas-roundmountain" w:history="1">
        <w:r w:rsidRPr="00CE0B74">
          <w:rPr>
            <w:rStyle w:val="Hyperlink"/>
            <w:rFonts w:eastAsia="Times New Roman"/>
            <w:lang w:eastAsia="en-US"/>
          </w:rPr>
          <w:t>Round Mountain Gold Mine</w:t>
        </w:r>
      </w:hyperlink>
      <w:r w:rsidR="00334221" w:rsidRPr="00334221">
        <w:rPr>
          <w:rFonts w:eastAsia="Times New Roman"/>
          <w:lang w:eastAsia="en-US"/>
        </w:rPr>
        <w:t xml:space="preserve">, which has produced more than 15 million ounces of gold. For the first time, the Company has consolidated </w:t>
      </w:r>
      <w:r w:rsidR="00EB1D51">
        <w:rPr>
          <w:rFonts w:eastAsia="Times New Roman"/>
          <w:lang w:eastAsia="en-US"/>
        </w:rPr>
        <w:t>Manhattan</w:t>
      </w:r>
      <w:r w:rsidR="00334221" w:rsidRPr="00334221">
        <w:rPr>
          <w:rFonts w:eastAsia="Times New Roman"/>
          <w:lang w:eastAsia="en-US"/>
        </w:rPr>
        <w:t xml:space="preserve">’s past-producing mines under a single entity that holds valuable permitting and water rights. </w:t>
      </w:r>
      <w:r w:rsidR="00CC00A0" w:rsidRPr="00102060">
        <w:rPr>
          <w:rFonts w:eastAsia="Times New Roman"/>
          <w:lang w:eastAsia="en-US"/>
        </w:rPr>
        <w:t>Historically, Manhattan has produced approximately 700,000 ounces of gold from high-grade placer and lode operations dating from the late 1890s through to the mid-2000s.¹</w:t>
      </w:r>
      <w:r w:rsidR="00102060">
        <w:rPr>
          <w:rFonts w:eastAsia="Times New Roman"/>
          <w:lang w:eastAsia="en-US"/>
        </w:rPr>
        <w:t xml:space="preserve"> </w:t>
      </w:r>
      <w:r w:rsidR="00CC00A0" w:rsidRPr="00102060">
        <w:rPr>
          <w:rFonts w:eastAsia="Times New Roman"/>
          <w:lang w:eastAsia="en-US"/>
        </w:rPr>
        <w:t xml:space="preserve">The maiden mineral resource estimate </w:t>
      </w:r>
      <w:r w:rsidR="00EB1D51">
        <w:rPr>
          <w:rFonts w:eastAsia="Times New Roman"/>
          <w:lang w:eastAsia="en-US"/>
        </w:rPr>
        <w:t>(the “</w:t>
      </w:r>
      <w:r w:rsidR="00EB1D51" w:rsidRPr="00EB1D51">
        <w:rPr>
          <w:rFonts w:eastAsia="Times New Roman"/>
          <w:b/>
          <w:bCs/>
          <w:lang w:eastAsia="en-US"/>
        </w:rPr>
        <w:t>Maiden MRE</w:t>
      </w:r>
      <w:r w:rsidR="00EB1D51">
        <w:rPr>
          <w:rFonts w:eastAsia="Times New Roman"/>
          <w:lang w:eastAsia="en-US"/>
        </w:rPr>
        <w:t xml:space="preserve">”) </w:t>
      </w:r>
      <w:r w:rsidR="00CC00A0" w:rsidRPr="00102060">
        <w:rPr>
          <w:rFonts w:eastAsia="Times New Roman"/>
          <w:lang w:eastAsia="en-US"/>
        </w:rPr>
        <w:t xml:space="preserve">covering the </w:t>
      </w:r>
      <w:proofErr w:type="spellStart"/>
      <w:r w:rsidR="00CC00A0" w:rsidRPr="00102060">
        <w:rPr>
          <w:rFonts w:eastAsia="Times New Roman"/>
          <w:lang w:eastAsia="en-US"/>
        </w:rPr>
        <w:t>Goldwedge</w:t>
      </w:r>
      <w:proofErr w:type="spellEnd"/>
      <w:r w:rsidR="00CC00A0" w:rsidRPr="00102060">
        <w:rPr>
          <w:rFonts w:eastAsia="Times New Roman"/>
          <w:lang w:eastAsia="en-US"/>
        </w:rPr>
        <w:t xml:space="preserve"> and Manhattan Pit areas of </w:t>
      </w:r>
      <w:r w:rsidR="00EB1D51">
        <w:rPr>
          <w:rFonts w:eastAsia="Times New Roman"/>
          <w:lang w:eastAsia="en-US"/>
        </w:rPr>
        <w:t>Manhattan</w:t>
      </w:r>
      <w:r w:rsidR="00CC00A0" w:rsidRPr="00102060">
        <w:rPr>
          <w:rFonts w:eastAsia="Times New Roman"/>
          <w:lang w:eastAsia="en-US"/>
        </w:rPr>
        <w:t xml:space="preserve"> is comprised of 18,343,000 tonnes grading 1.26 g/t gold for a total of 740,000 oz contained gold in the inferred category.²</w:t>
      </w:r>
      <w:r w:rsidR="00D6740B">
        <w:rPr>
          <w:rFonts w:eastAsia="Times New Roman"/>
          <w:lang w:eastAsia="en-US"/>
        </w:rPr>
        <w:t xml:space="preserve"> </w:t>
      </w:r>
    </w:p>
    <w:p w14:paraId="5CE4B3B3" w14:textId="63623CF0" w:rsidR="00102060" w:rsidRPr="00102060" w:rsidRDefault="00CC00A0" w:rsidP="00EB1D51">
      <w:pPr>
        <w:spacing w:before="100" w:beforeAutospacing="1" w:after="100" w:afterAutospacing="1" w:line="240" w:lineRule="auto"/>
        <w:jc w:val="both"/>
        <w:rPr>
          <w:rFonts w:eastAsia="Times New Roman"/>
          <w:lang w:eastAsia="en-US"/>
        </w:rPr>
      </w:pPr>
      <w:r w:rsidRPr="00102060">
        <w:rPr>
          <w:rFonts w:eastAsia="Times New Roman"/>
          <w:lang w:eastAsia="en-US"/>
        </w:rPr>
        <w:t>A historical mineral resource estimate (the “</w:t>
      </w:r>
      <w:r w:rsidRPr="00533575">
        <w:rPr>
          <w:rFonts w:eastAsia="Times New Roman"/>
          <w:b/>
          <w:bCs/>
          <w:lang w:eastAsia="en-US"/>
        </w:rPr>
        <w:t>Historical MRE</w:t>
      </w:r>
      <w:r w:rsidRPr="00102060">
        <w:rPr>
          <w:rFonts w:eastAsia="Times New Roman"/>
          <w:lang w:eastAsia="en-US"/>
        </w:rPr>
        <w:t xml:space="preserve">”) covers the Black Mammoth, April Fool, Hooligan, Keystone, and Jumbo areas of Manhattan and comprises 1,652,325 tonnes grading 5.89 g/t gold for a total of 303,949 oz contained gold.³ </w:t>
      </w:r>
      <w:r w:rsidR="004319C7" w:rsidRPr="00102060">
        <w:rPr>
          <w:rFonts w:eastAsia="Times New Roman"/>
          <w:lang w:eastAsia="en-US"/>
        </w:rPr>
        <w:t xml:space="preserve">The deposit is interpreted as a low-sulfidation, epithermal, gold-rich system situated adjacent to the Tertiary-aged Manhattan caldera in the Southern </w:t>
      </w:r>
      <w:proofErr w:type="spellStart"/>
      <w:r w:rsidR="004319C7" w:rsidRPr="00102060">
        <w:rPr>
          <w:rFonts w:eastAsia="Times New Roman"/>
          <w:lang w:eastAsia="en-US"/>
        </w:rPr>
        <w:t>Toquima</w:t>
      </w:r>
      <w:proofErr w:type="spellEnd"/>
      <w:r w:rsidR="004319C7" w:rsidRPr="00102060">
        <w:rPr>
          <w:rFonts w:eastAsia="Times New Roman"/>
          <w:lang w:eastAsia="en-US"/>
        </w:rPr>
        <w:t xml:space="preserve"> Range of Nevada.</w:t>
      </w:r>
      <w:r w:rsidR="00EB1D51">
        <w:rPr>
          <w:rFonts w:eastAsia="Times New Roman"/>
          <w:lang w:eastAsia="en-US"/>
        </w:rPr>
        <w:t xml:space="preserve"> </w:t>
      </w:r>
      <w:r w:rsidR="00EB1D51" w:rsidRPr="00EB1D51">
        <w:rPr>
          <w:rFonts w:eastAsia="Times New Roman"/>
          <w:lang w:eastAsia="en-US"/>
        </w:rPr>
        <w:t xml:space="preserve">A </w:t>
      </w:r>
      <w:r w:rsidR="00EB1D51">
        <w:rPr>
          <w:rFonts w:eastAsia="Times New Roman"/>
          <w:lang w:eastAsia="en-US"/>
        </w:rPr>
        <w:t>“</w:t>
      </w:r>
      <w:r w:rsidR="00EB1D51" w:rsidRPr="00EB1D51">
        <w:rPr>
          <w:rFonts w:eastAsia="Times New Roman"/>
          <w:lang w:eastAsia="en-US"/>
        </w:rPr>
        <w:t>Qualified Person</w:t>
      </w:r>
      <w:r w:rsidR="00EB1D51">
        <w:rPr>
          <w:rFonts w:eastAsia="Times New Roman"/>
          <w:lang w:eastAsia="en-US"/>
        </w:rPr>
        <w:t>”</w:t>
      </w:r>
      <w:r w:rsidR="00EB1D51" w:rsidRPr="00EB1D51">
        <w:rPr>
          <w:rFonts w:eastAsia="Times New Roman"/>
          <w:lang w:eastAsia="en-US"/>
        </w:rPr>
        <w:t xml:space="preserve"> </w:t>
      </w:r>
      <w:r w:rsidR="00EB1D51" w:rsidRPr="003B6F35">
        <w:t>as defined</w:t>
      </w:r>
      <w:r w:rsidR="00EB1D51">
        <w:t xml:space="preserve"> in</w:t>
      </w:r>
      <w:r w:rsidR="00EB1D51" w:rsidRPr="003B6F35">
        <w:t xml:space="preserve"> </w:t>
      </w:r>
      <w:r w:rsidR="00EB1D51" w:rsidRPr="00EB1D51">
        <w:t xml:space="preserve">National Instrument 43-101 - </w:t>
      </w:r>
      <w:r w:rsidR="00EB1D51" w:rsidRPr="00EB1D51">
        <w:rPr>
          <w:i/>
          <w:iCs/>
        </w:rPr>
        <w:t>Standards of Disclosure for Mineral Projects</w:t>
      </w:r>
      <w:r w:rsidR="00EB1D51" w:rsidRPr="00EB1D51">
        <w:t xml:space="preserve"> (“</w:t>
      </w:r>
      <w:r w:rsidR="00EB1D51" w:rsidRPr="00EB1D51">
        <w:rPr>
          <w:b/>
          <w:bCs/>
        </w:rPr>
        <w:t>NI 43-101</w:t>
      </w:r>
      <w:r w:rsidR="00EB1D51" w:rsidRPr="00EB1D51">
        <w:t>”)</w:t>
      </w:r>
      <w:r w:rsidR="00EB1D51">
        <w:t xml:space="preserve"> </w:t>
      </w:r>
      <w:r w:rsidR="00EB1D51" w:rsidRPr="00EB1D51">
        <w:rPr>
          <w:rFonts w:eastAsia="Times New Roman"/>
          <w:lang w:eastAsia="en-US"/>
        </w:rPr>
        <w:t>has not done sufficient work to make the Historical MRE current, and</w:t>
      </w:r>
      <w:r w:rsidR="00EB1D51">
        <w:rPr>
          <w:rFonts w:eastAsia="Times New Roman"/>
          <w:lang w:eastAsia="en-US"/>
        </w:rPr>
        <w:t xml:space="preserve"> </w:t>
      </w:r>
      <w:r w:rsidR="00EB1D51" w:rsidRPr="00EB1D51">
        <w:rPr>
          <w:rFonts w:eastAsia="Times New Roman"/>
          <w:lang w:eastAsia="en-US"/>
        </w:rPr>
        <w:t>the Company is not treating the Historical MRE as current.</w:t>
      </w:r>
      <w:r w:rsidR="00D6740B">
        <w:rPr>
          <w:rFonts w:eastAsia="Times New Roman"/>
          <w:lang w:eastAsia="en-US"/>
        </w:rPr>
        <w:t xml:space="preserve"> </w:t>
      </w:r>
    </w:p>
    <w:p w14:paraId="5B94C14C" w14:textId="61EC54FA" w:rsidR="00FF69BF" w:rsidRPr="00FF69BF" w:rsidRDefault="00FF69BF" w:rsidP="00102060">
      <w:pPr>
        <w:spacing w:before="100" w:beforeAutospacing="1" w:after="100" w:afterAutospacing="1" w:line="240" w:lineRule="auto"/>
        <w:jc w:val="both"/>
        <w:rPr>
          <w:rFonts w:eastAsia="Times New Roman"/>
          <w:b/>
          <w:bCs/>
          <w:lang w:eastAsia="en-US"/>
        </w:rPr>
      </w:pPr>
      <w:r w:rsidRPr="00FF69BF">
        <w:rPr>
          <w:rFonts w:eastAsia="Times New Roman"/>
          <w:b/>
          <w:bCs/>
          <w:lang w:eastAsia="en-US"/>
        </w:rPr>
        <w:t>Note</w:t>
      </w:r>
      <w:r>
        <w:rPr>
          <w:rFonts w:eastAsia="Times New Roman"/>
          <w:b/>
          <w:bCs/>
          <w:lang w:eastAsia="en-US"/>
        </w:rPr>
        <w:t>s</w:t>
      </w:r>
    </w:p>
    <w:p w14:paraId="350BE887" w14:textId="4F1CFFD6" w:rsidR="00102060" w:rsidRDefault="00FF69BF" w:rsidP="00C14195">
      <w:pPr>
        <w:pStyle w:val="ListParagraph"/>
        <w:numPr>
          <w:ilvl w:val="0"/>
          <w:numId w:val="11"/>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t>Adjacent Properties:</w:t>
      </w:r>
      <w:r w:rsidRPr="00FF69BF">
        <w:rPr>
          <w:rFonts w:eastAsia="Times New Roman"/>
          <w:i/>
          <w:iCs/>
          <w:sz w:val="18"/>
          <w:szCs w:val="18"/>
          <w:lang w:eastAsia="en-US"/>
        </w:rPr>
        <w:t xml:space="preserve"> The Company has no interest in, or rights to, any of the adjacent properties mentioned</w:t>
      </w:r>
      <w:r>
        <w:rPr>
          <w:rFonts w:eastAsia="Times New Roman"/>
          <w:i/>
          <w:iCs/>
          <w:sz w:val="18"/>
          <w:szCs w:val="18"/>
          <w:lang w:eastAsia="en-US"/>
        </w:rPr>
        <w:t>, including the Round Mountain Gold Mine</w:t>
      </w:r>
      <w:r w:rsidRPr="00FF69BF">
        <w:rPr>
          <w:rFonts w:eastAsia="Times New Roman"/>
          <w:i/>
          <w:iCs/>
          <w:sz w:val="18"/>
          <w:szCs w:val="18"/>
          <w:lang w:eastAsia="en-US"/>
        </w:rPr>
        <w:t>, and exploration results on adjacent properties are not necessarily indicative of mineralization on the Company’s properties. Any references to exploration results on adjacent properties are provided for information only and do not imply any certainty of achieving similar results on the Company’s properties.</w:t>
      </w:r>
    </w:p>
    <w:p w14:paraId="015C604E" w14:textId="77777777" w:rsidR="00FF69BF" w:rsidRDefault="00FF69BF" w:rsidP="00C14195">
      <w:pPr>
        <w:pStyle w:val="ListParagraph"/>
        <w:spacing w:before="100" w:beforeAutospacing="1" w:after="100" w:afterAutospacing="1" w:line="240" w:lineRule="auto"/>
        <w:ind w:left="360" w:hanging="360"/>
        <w:jc w:val="both"/>
        <w:rPr>
          <w:rFonts w:eastAsia="Times New Roman"/>
          <w:i/>
          <w:iCs/>
          <w:sz w:val="18"/>
          <w:szCs w:val="18"/>
          <w:lang w:eastAsia="en-US"/>
        </w:rPr>
      </w:pPr>
    </w:p>
    <w:p w14:paraId="1657AFD4" w14:textId="77777777" w:rsidR="00C14195" w:rsidRDefault="00FF69BF" w:rsidP="00C14195">
      <w:pPr>
        <w:pStyle w:val="ListParagraph"/>
        <w:numPr>
          <w:ilvl w:val="0"/>
          <w:numId w:val="11"/>
        </w:numPr>
        <w:ind w:left="360"/>
        <w:jc w:val="both"/>
        <w:rPr>
          <w:rFonts w:eastAsia="Times New Roman"/>
          <w:i/>
          <w:iCs/>
          <w:sz w:val="18"/>
          <w:szCs w:val="18"/>
          <w:lang w:eastAsia="en-US"/>
        </w:rPr>
      </w:pPr>
      <w:r w:rsidRPr="00FF69BF">
        <w:rPr>
          <w:rFonts w:eastAsia="Times New Roman"/>
          <w:b/>
          <w:bCs/>
          <w:i/>
          <w:iCs/>
          <w:sz w:val="18"/>
          <w:szCs w:val="18"/>
          <w:lang w:eastAsia="en-US"/>
        </w:rPr>
        <w:t>Historical Data:</w:t>
      </w:r>
      <w:r>
        <w:rPr>
          <w:rFonts w:eastAsia="Times New Roman"/>
          <w:i/>
          <w:iCs/>
          <w:sz w:val="18"/>
          <w:szCs w:val="18"/>
          <w:lang w:eastAsia="en-US"/>
        </w:rPr>
        <w:t xml:space="preserve"> </w:t>
      </w:r>
      <w:r w:rsidRPr="00FF69BF">
        <w:rPr>
          <w:rFonts w:eastAsia="Times New Roman"/>
          <w:i/>
          <w:iCs/>
          <w:sz w:val="18"/>
          <w:szCs w:val="18"/>
          <w:lang w:eastAsia="en-US"/>
        </w:rPr>
        <w:t>This news release includes historical information that has been reviewed by the Company’s qualified person. The Company’s review of the historical records and information reasonably substantiate the validity of the information presented in this presentation. The Company encourages readers to exercise appropriate caution when evaluating these data and/or results.</w:t>
      </w:r>
    </w:p>
    <w:p w14:paraId="3D0103B3" w14:textId="77777777" w:rsidR="00C14195" w:rsidRPr="00C14195" w:rsidRDefault="00C14195" w:rsidP="00C14195">
      <w:pPr>
        <w:rPr>
          <w:rFonts w:eastAsia="Times New Roman"/>
          <w:i/>
          <w:iCs/>
          <w:sz w:val="18"/>
          <w:szCs w:val="18"/>
          <w:lang w:eastAsia="en-US"/>
        </w:rPr>
      </w:pPr>
    </w:p>
    <w:p w14:paraId="565100F5" w14:textId="64CFDF2B" w:rsidR="00FF69BF" w:rsidRPr="00247D79" w:rsidRDefault="00FF69BF" w:rsidP="00C14195">
      <w:pPr>
        <w:pStyle w:val="ListParagraph"/>
        <w:numPr>
          <w:ilvl w:val="0"/>
          <w:numId w:val="11"/>
        </w:numPr>
        <w:ind w:left="360"/>
        <w:jc w:val="both"/>
        <w:rPr>
          <w:rFonts w:eastAsia="Times New Roman"/>
          <w:i/>
          <w:iCs/>
          <w:sz w:val="18"/>
          <w:szCs w:val="18"/>
          <w:lang w:eastAsia="en-US"/>
        </w:rPr>
      </w:pPr>
      <w:r w:rsidRPr="002B2591">
        <w:rPr>
          <w:rFonts w:eastAsia="Times New Roman"/>
          <w:b/>
          <w:bCs/>
          <w:i/>
          <w:iCs/>
          <w:sz w:val="18"/>
          <w:szCs w:val="18"/>
          <w:lang w:eastAsia="en-US"/>
        </w:rPr>
        <w:t>Third-Party Mineral Projects</w:t>
      </w:r>
      <w:r w:rsidRPr="00247D79">
        <w:rPr>
          <w:rFonts w:eastAsia="Times New Roman"/>
          <w:i/>
          <w:iCs/>
          <w:sz w:val="18"/>
          <w:szCs w:val="18"/>
          <w:lang w:eastAsia="en-US"/>
        </w:rPr>
        <w:t xml:space="preserve">: These deposits are cited solely for geological context. The Company cautions that these properties are not </w:t>
      </w:r>
      <w:r>
        <w:rPr>
          <w:rFonts w:eastAsia="Times New Roman"/>
          <w:i/>
          <w:iCs/>
          <w:sz w:val="18"/>
          <w:szCs w:val="18"/>
          <w:lang w:eastAsia="en-US"/>
        </w:rPr>
        <w:t xml:space="preserve">necessarily </w:t>
      </w:r>
      <w:r w:rsidRPr="00247D79">
        <w:rPr>
          <w:rFonts w:eastAsia="Times New Roman"/>
          <w:i/>
          <w:iCs/>
          <w:sz w:val="18"/>
          <w:szCs w:val="18"/>
          <w:lang w:eastAsia="en-US"/>
        </w:rPr>
        <w:t xml:space="preserve">adjacent to, nor does the Company or have any interest in or control over them. Although certain geological features may be similar, there is no assurance that mineralization comparable to these deposits will be discovered on any of the Company’s properties. </w:t>
      </w:r>
      <w:r w:rsidRPr="00C7424D">
        <w:rPr>
          <w:rFonts w:eastAsia="Times New Roman"/>
          <w:i/>
          <w:iCs/>
          <w:sz w:val="18"/>
          <w:szCs w:val="18"/>
          <w:lang w:eastAsia="en-US"/>
        </w:rPr>
        <w:t xml:space="preserve">Information regarding the </w:t>
      </w:r>
      <w:proofErr w:type="gramStart"/>
      <w:r w:rsidRPr="00C7424D">
        <w:rPr>
          <w:rFonts w:eastAsia="Times New Roman"/>
          <w:i/>
          <w:iCs/>
          <w:sz w:val="18"/>
          <w:szCs w:val="18"/>
          <w:lang w:eastAsia="en-US"/>
        </w:rPr>
        <w:t>aforementioned deposits</w:t>
      </w:r>
      <w:proofErr w:type="gramEnd"/>
      <w:r w:rsidRPr="00C7424D">
        <w:rPr>
          <w:rFonts w:eastAsia="Times New Roman"/>
          <w:i/>
          <w:iCs/>
          <w:sz w:val="18"/>
          <w:szCs w:val="18"/>
          <w:lang w:eastAsia="en-US"/>
        </w:rPr>
        <w:t xml:space="preserve"> is taken from publicly available sources and technical reports believed to be </w:t>
      </w:r>
      <w:proofErr w:type="gramStart"/>
      <w:r w:rsidRPr="00C7424D">
        <w:rPr>
          <w:rFonts w:eastAsia="Times New Roman"/>
          <w:i/>
          <w:iCs/>
          <w:sz w:val="18"/>
          <w:szCs w:val="18"/>
          <w:lang w:eastAsia="en-US"/>
        </w:rPr>
        <w:t>reliable, but</w:t>
      </w:r>
      <w:proofErr w:type="gramEnd"/>
      <w:r w:rsidRPr="00C7424D">
        <w:rPr>
          <w:rFonts w:eastAsia="Times New Roman"/>
          <w:i/>
          <w:iCs/>
          <w:sz w:val="18"/>
          <w:szCs w:val="18"/>
          <w:lang w:eastAsia="en-US"/>
        </w:rPr>
        <w:t xml:space="preserve"> has not been independently verified by the Company.</w:t>
      </w:r>
      <w:r w:rsidR="004A2B59">
        <w:rPr>
          <w:rFonts w:eastAsia="Times New Roman"/>
          <w:i/>
          <w:iCs/>
          <w:sz w:val="18"/>
          <w:szCs w:val="18"/>
          <w:lang w:eastAsia="en-US"/>
        </w:rPr>
        <w:t xml:space="preserve"> </w:t>
      </w:r>
      <w:r w:rsidR="004A2B59" w:rsidRPr="00FF69BF">
        <w:rPr>
          <w:rFonts w:eastAsia="Times New Roman"/>
          <w:i/>
          <w:iCs/>
          <w:sz w:val="18"/>
          <w:szCs w:val="18"/>
          <w:lang w:eastAsia="en-US"/>
        </w:rPr>
        <w:t>The Company encourages readers to exercise appropriate caution when evaluating these data and/or results.</w:t>
      </w:r>
    </w:p>
    <w:p w14:paraId="257B8295" w14:textId="77777777" w:rsidR="006B1CCE" w:rsidRPr="00EB1D51" w:rsidRDefault="006B1CCE" w:rsidP="00EB1D51">
      <w:pPr>
        <w:pStyle w:val="ListParagraph"/>
        <w:rPr>
          <w:rFonts w:eastAsia="Times New Roman"/>
          <w:b/>
          <w:bCs/>
          <w:i/>
          <w:iCs/>
          <w:sz w:val="18"/>
          <w:szCs w:val="18"/>
          <w:lang w:eastAsia="en-US"/>
        </w:rPr>
      </w:pPr>
    </w:p>
    <w:p w14:paraId="48C0D648" w14:textId="4D3D8866" w:rsidR="006B1CCE" w:rsidRPr="00EB1D51" w:rsidRDefault="006B1CCE" w:rsidP="00C14195">
      <w:pPr>
        <w:pStyle w:val="ListParagraph"/>
        <w:numPr>
          <w:ilvl w:val="0"/>
          <w:numId w:val="11"/>
        </w:numPr>
        <w:spacing w:before="100" w:beforeAutospacing="1" w:after="100" w:afterAutospacing="1" w:line="240" w:lineRule="auto"/>
        <w:ind w:left="360"/>
        <w:jc w:val="both"/>
        <w:rPr>
          <w:rFonts w:eastAsia="Times New Roman"/>
          <w:i/>
          <w:iCs/>
          <w:sz w:val="18"/>
          <w:szCs w:val="18"/>
          <w:lang w:eastAsia="en-US"/>
        </w:rPr>
      </w:pPr>
      <w:r w:rsidRPr="00EB1D51">
        <w:rPr>
          <w:rFonts w:eastAsia="Times New Roman"/>
          <w:b/>
          <w:bCs/>
          <w:i/>
          <w:iCs/>
          <w:sz w:val="18"/>
          <w:szCs w:val="18"/>
          <w:lang w:eastAsia="en-US"/>
        </w:rPr>
        <w:t>Mineral Resource Estimate (MRE):</w:t>
      </w:r>
      <w:r w:rsidRPr="006B1CCE">
        <w:rPr>
          <w:rFonts w:eastAsia="Times New Roman"/>
          <w:i/>
          <w:iCs/>
          <w:sz w:val="18"/>
          <w:szCs w:val="18"/>
          <w:lang w:eastAsia="en-US"/>
        </w:rPr>
        <w:t xml:space="preserve"> All scientific and technical information relating to </w:t>
      </w:r>
      <w:r>
        <w:rPr>
          <w:rFonts w:eastAsia="Times New Roman"/>
          <w:i/>
          <w:iCs/>
          <w:sz w:val="18"/>
          <w:szCs w:val="18"/>
          <w:lang w:eastAsia="en-US"/>
        </w:rPr>
        <w:t>Manhattan</w:t>
      </w:r>
      <w:r w:rsidRPr="006B1CCE">
        <w:rPr>
          <w:rFonts w:eastAsia="Times New Roman"/>
          <w:i/>
          <w:iCs/>
          <w:sz w:val="18"/>
          <w:szCs w:val="18"/>
          <w:lang w:eastAsia="en-US"/>
        </w:rPr>
        <w:t xml:space="preserve"> pertaining to </w:t>
      </w:r>
      <w:r w:rsidR="00EB1D51">
        <w:rPr>
          <w:rFonts w:eastAsia="Times New Roman"/>
          <w:i/>
          <w:iCs/>
          <w:sz w:val="18"/>
          <w:szCs w:val="18"/>
          <w:lang w:eastAsia="en-US"/>
        </w:rPr>
        <w:t>Maiden MRE</w:t>
      </w:r>
      <w:r w:rsidRPr="006B1CCE">
        <w:rPr>
          <w:rFonts w:eastAsia="Times New Roman"/>
          <w:i/>
          <w:iCs/>
          <w:sz w:val="18"/>
          <w:szCs w:val="18"/>
          <w:lang w:eastAsia="en-US"/>
        </w:rPr>
        <w:t xml:space="preserve"> contained in this news release is derived from the Technical Report dated </w:t>
      </w:r>
      <w:r>
        <w:rPr>
          <w:rFonts w:eastAsia="Times New Roman"/>
          <w:i/>
          <w:iCs/>
          <w:sz w:val="18"/>
          <w:szCs w:val="18"/>
          <w:lang w:eastAsia="en-US"/>
        </w:rPr>
        <w:t>October 23, 2025</w:t>
      </w:r>
      <w:r w:rsidRPr="006B1CCE">
        <w:rPr>
          <w:rFonts w:eastAsia="Times New Roman"/>
          <w:i/>
          <w:iCs/>
          <w:sz w:val="18"/>
          <w:szCs w:val="18"/>
          <w:lang w:eastAsia="en-US"/>
        </w:rPr>
        <w:t xml:space="preserve"> (with an effective date of </w:t>
      </w:r>
      <w:r>
        <w:rPr>
          <w:rFonts w:eastAsia="Times New Roman"/>
          <w:i/>
          <w:iCs/>
          <w:sz w:val="18"/>
          <w:szCs w:val="18"/>
          <w:lang w:eastAsia="en-US"/>
        </w:rPr>
        <w:t>June 4</w:t>
      </w:r>
      <w:r w:rsidRPr="006B1CCE">
        <w:rPr>
          <w:rFonts w:eastAsia="Times New Roman"/>
          <w:i/>
          <w:iCs/>
          <w:sz w:val="18"/>
          <w:szCs w:val="18"/>
          <w:lang w:eastAsia="en-US"/>
        </w:rPr>
        <w:t>, 2025) titled “</w:t>
      </w:r>
      <w:r>
        <w:rPr>
          <w:rFonts w:eastAsia="Times New Roman"/>
          <w:i/>
          <w:iCs/>
          <w:sz w:val="18"/>
          <w:szCs w:val="18"/>
          <w:lang w:eastAsia="en-US"/>
        </w:rPr>
        <w:t>Mineral Resource Estimate and NI 43-101 Technical Report</w:t>
      </w:r>
      <w:r w:rsidRPr="006B1CCE">
        <w:rPr>
          <w:rFonts w:eastAsia="Times New Roman"/>
          <w:i/>
          <w:iCs/>
          <w:sz w:val="18"/>
          <w:szCs w:val="18"/>
          <w:lang w:eastAsia="en-US"/>
        </w:rPr>
        <w:t>” (the “</w:t>
      </w:r>
      <w:r w:rsidRPr="00EB1D51">
        <w:rPr>
          <w:rFonts w:eastAsia="Times New Roman"/>
          <w:b/>
          <w:bCs/>
          <w:i/>
          <w:iCs/>
          <w:sz w:val="18"/>
          <w:szCs w:val="18"/>
          <w:lang w:eastAsia="en-US"/>
        </w:rPr>
        <w:t>Technical Report</w:t>
      </w:r>
      <w:r w:rsidRPr="006B1CCE">
        <w:rPr>
          <w:rFonts w:eastAsia="Times New Roman"/>
          <w:i/>
          <w:iCs/>
          <w:sz w:val="18"/>
          <w:szCs w:val="18"/>
          <w:lang w:eastAsia="en-US"/>
        </w:rPr>
        <w:t xml:space="preserve">”) prepared by </w:t>
      </w:r>
      <w:r w:rsidR="00EB1D51" w:rsidRPr="00EB1D51">
        <w:rPr>
          <w:rFonts w:eastAsia="Times New Roman"/>
          <w:i/>
          <w:iCs/>
          <w:sz w:val="18"/>
          <w:szCs w:val="18"/>
          <w:lang w:eastAsia="en-US"/>
        </w:rPr>
        <w:t xml:space="preserve">Matthew R. </w:t>
      </w:r>
      <w:proofErr w:type="spellStart"/>
      <w:r w:rsidR="00EB1D51" w:rsidRPr="00EB1D51">
        <w:rPr>
          <w:rFonts w:eastAsia="Times New Roman"/>
          <w:i/>
          <w:iCs/>
          <w:sz w:val="18"/>
          <w:szCs w:val="18"/>
          <w:lang w:eastAsia="en-US"/>
        </w:rPr>
        <w:t>Dumala</w:t>
      </w:r>
      <w:proofErr w:type="spellEnd"/>
      <w:r w:rsidR="00EB1D51" w:rsidRPr="00EB1D51">
        <w:rPr>
          <w:rFonts w:eastAsia="Times New Roman"/>
          <w:i/>
          <w:iCs/>
          <w:sz w:val="18"/>
          <w:szCs w:val="18"/>
          <w:lang w:eastAsia="en-US"/>
        </w:rPr>
        <w:t xml:space="preserve">, </w:t>
      </w:r>
      <w:proofErr w:type="spellStart"/>
      <w:r w:rsidR="00EB1D51" w:rsidRPr="00EB1D51">
        <w:rPr>
          <w:rFonts w:eastAsia="Times New Roman"/>
          <w:i/>
          <w:iCs/>
          <w:sz w:val="18"/>
          <w:szCs w:val="18"/>
          <w:lang w:eastAsia="en-US"/>
        </w:rPr>
        <w:t>P.Eng</w:t>
      </w:r>
      <w:proofErr w:type="spellEnd"/>
      <w:r w:rsidR="00EB1D51" w:rsidRPr="00EB1D51">
        <w:rPr>
          <w:rFonts w:eastAsia="Times New Roman"/>
          <w:i/>
          <w:iCs/>
          <w:sz w:val="18"/>
          <w:szCs w:val="18"/>
          <w:lang w:eastAsia="en-US"/>
        </w:rPr>
        <w:t xml:space="preserve"> (BC) of Archer Cathro Geological (US) Ltd., Patrick Loury, M.Sc., CPG (AIPG) of Daniel Kunz &amp; Associates, Annaliese Miller, LG (WA) of Geosyntec Consultants, Inc. and Art Ibrado, PhD, PE (AZ) of Fort Lowell Consulting PPLC</w:t>
      </w:r>
      <w:r w:rsidRPr="006B1CCE">
        <w:rPr>
          <w:rFonts w:eastAsia="Times New Roman"/>
          <w:i/>
          <w:iCs/>
          <w:sz w:val="18"/>
          <w:szCs w:val="18"/>
          <w:lang w:eastAsia="en-US"/>
        </w:rPr>
        <w:t xml:space="preserve">. The information contained herein in respect of the </w:t>
      </w:r>
      <w:r w:rsidR="00DF4C4C">
        <w:rPr>
          <w:rFonts w:eastAsia="Times New Roman"/>
          <w:i/>
          <w:iCs/>
          <w:sz w:val="18"/>
          <w:szCs w:val="18"/>
          <w:lang w:eastAsia="en-US"/>
        </w:rPr>
        <w:t>Maiden</w:t>
      </w:r>
      <w:r w:rsidRPr="006B1CCE">
        <w:rPr>
          <w:rFonts w:eastAsia="Times New Roman"/>
          <w:i/>
          <w:iCs/>
          <w:sz w:val="18"/>
          <w:szCs w:val="18"/>
          <w:lang w:eastAsia="en-US"/>
        </w:rPr>
        <w:t xml:space="preserve"> MRE is subject to </w:t>
      </w:r>
      <w:proofErr w:type="gramStart"/>
      <w:r w:rsidRPr="006B1CCE">
        <w:rPr>
          <w:rFonts w:eastAsia="Times New Roman"/>
          <w:i/>
          <w:iCs/>
          <w:sz w:val="18"/>
          <w:szCs w:val="18"/>
          <w:lang w:eastAsia="en-US"/>
        </w:rPr>
        <w:t>all of</w:t>
      </w:r>
      <w:proofErr w:type="gramEnd"/>
      <w:r w:rsidRPr="006B1CCE">
        <w:rPr>
          <w:rFonts w:eastAsia="Times New Roman"/>
          <w:i/>
          <w:iCs/>
          <w:sz w:val="18"/>
          <w:szCs w:val="18"/>
          <w:lang w:eastAsia="en-US"/>
        </w:rPr>
        <w:t xml:space="preserve"> the assumptions, qualifications and procedures set out in the Technical Report and reference should be made to the full text of the Technical Report, a copy of which has been filed with the applicable securities regulators and is available under </w:t>
      </w:r>
      <w:r>
        <w:rPr>
          <w:rFonts w:eastAsia="Times New Roman"/>
          <w:i/>
          <w:iCs/>
          <w:sz w:val="18"/>
          <w:szCs w:val="18"/>
          <w:lang w:eastAsia="en-US"/>
        </w:rPr>
        <w:t>the Company’s</w:t>
      </w:r>
      <w:r w:rsidRPr="006B1CCE">
        <w:rPr>
          <w:rFonts w:eastAsia="Times New Roman"/>
          <w:i/>
          <w:iCs/>
          <w:sz w:val="18"/>
          <w:szCs w:val="18"/>
          <w:lang w:eastAsia="en-US"/>
        </w:rPr>
        <w:t xml:space="preserve"> profile on www.sedarplus.ca.</w:t>
      </w:r>
    </w:p>
    <w:p w14:paraId="28E955C9" w14:textId="77777777" w:rsidR="006B1CCE" w:rsidRPr="00EB1D51" w:rsidRDefault="006B1CCE" w:rsidP="00EB1D51">
      <w:pPr>
        <w:pStyle w:val="ListParagraph"/>
        <w:rPr>
          <w:rFonts w:eastAsia="Times New Roman"/>
          <w:b/>
          <w:bCs/>
          <w:i/>
          <w:iCs/>
          <w:sz w:val="18"/>
          <w:szCs w:val="18"/>
          <w:lang w:eastAsia="en-US"/>
        </w:rPr>
      </w:pPr>
    </w:p>
    <w:p w14:paraId="1A4DEB5F" w14:textId="77777777" w:rsidR="00B3230B" w:rsidRDefault="00FF69BF" w:rsidP="00C14195">
      <w:pPr>
        <w:pStyle w:val="ListParagraph"/>
        <w:numPr>
          <w:ilvl w:val="0"/>
          <w:numId w:val="11"/>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t xml:space="preserve">Historical MRE: </w:t>
      </w:r>
      <w:r w:rsidR="00045F75" w:rsidRPr="00045F75">
        <w:rPr>
          <w:rFonts w:eastAsia="Times New Roman"/>
          <w:i/>
          <w:iCs/>
          <w:sz w:val="18"/>
          <w:szCs w:val="18"/>
          <w:lang w:eastAsia="en-US"/>
        </w:rPr>
        <w:t>A Qualified Person</w:t>
      </w:r>
      <w:r w:rsidR="00045F75">
        <w:rPr>
          <w:rFonts w:eastAsia="Times New Roman"/>
          <w:i/>
          <w:iCs/>
          <w:sz w:val="18"/>
          <w:szCs w:val="18"/>
          <w:lang w:eastAsia="en-US"/>
        </w:rPr>
        <w:t xml:space="preserve"> </w:t>
      </w:r>
      <w:r w:rsidR="00045F75" w:rsidRPr="00045F75">
        <w:rPr>
          <w:rFonts w:eastAsia="Times New Roman"/>
          <w:i/>
          <w:iCs/>
          <w:sz w:val="18"/>
          <w:szCs w:val="18"/>
          <w:lang w:eastAsia="en-US"/>
        </w:rPr>
        <w:t xml:space="preserve">has not done sufficient work to make the Historical MRE current, and the Company is not treating the Historical MRE as current. </w:t>
      </w:r>
    </w:p>
    <w:p w14:paraId="3A4B5A74" w14:textId="77777777" w:rsidR="00B3230B" w:rsidRPr="00B3230B" w:rsidRDefault="00B3230B" w:rsidP="00B3230B">
      <w:pPr>
        <w:pStyle w:val="ListParagraph"/>
        <w:rPr>
          <w:rFonts w:eastAsia="Times New Roman"/>
          <w:i/>
          <w:iCs/>
          <w:sz w:val="18"/>
          <w:szCs w:val="18"/>
          <w:lang w:eastAsia="en-US"/>
        </w:rPr>
      </w:pPr>
    </w:p>
    <w:p w14:paraId="70F7CE32" w14:textId="6D6E0CCA" w:rsidR="00CC00A0" w:rsidRDefault="00CC00A0" w:rsidP="00B3230B">
      <w:pPr>
        <w:pStyle w:val="ListParagraph"/>
        <w:spacing w:before="100" w:beforeAutospacing="1" w:after="100" w:afterAutospacing="1" w:line="240" w:lineRule="auto"/>
        <w:ind w:left="360"/>
        <w:jc w:val="both"/>
        <w:rPr>
          <w:rFonts w:eastAsia="Times New Roman"/>
          <w:i/>
          <w:iCs/>
          <w:sz w:val="18"/>
          <w:szCs w:val="18"/>
          <w:lang w:eastAsia="en-US"/>
        </w:rPr>
      </w:pPr>
      <w:r w:rsidRPr="00FF69BF">
        <w:rPr>
          <w:rFonts w:eastAsia="Times New Roman"/>
          <w:i/>
          <w:iCs/>
          <w:sz w:val="18"/>
          <w:szCs w:val="18"/>
          <w:lang w:eastAsia="en-US"/>
        </w:rPr>
        <w:t xml:space="preserve">The Company considers </w:t>
      </w:r>
      <w:r w:rsidR="00FF69BF">
        <w:rPr>
          <w:rFonts w:eastAsia="Times New Roman"/>
          <w:i/>
          <w:iCs/>
          <w:sz w:val="18"/>
          <w:szCs w:val="18"/>
          <w:lang w:eastAsia="en-US"/>
        </w:rPr>
        <w:t xml:space="preserve">the Historical MRE </w:t>
      </w:r>
      <w:r w:rsidRPr="00FF69BF">
        <w:rPr>
          <w:rFonts w:eastAsia="Times New Roman"/>
          <w:i/>
          <w:iCs/>
          <w:sz w:val="18"/>
          <w:szCs w:val="18"/>
          <w:lang w:eastAsia="en-US"/>
        </w:rPr>
        <w:t xml:space="preserve">relevant as it demonstrates the presence of significant gold mineralization across multiple zones within </w:t>
      </w:r>
      <w:r w:rsidR="00596915">
        <w:rPr>
          <w:rFonts w:eastAsia="Times New Roman"/>
          <w:i/>
          <w:iCs/>
          <w:sz w:val="18"/>
          <w:szCs w:val="18"/>
          <w:lang w:eastAsia="en-US"/>
        </w:rPr>
        <w:t>Manhattan</w:t>
      </w:r>
      <w:r w:rsidRPr="00FF69BF">
        <w:rPr>
          <w:rFonts w:eastAsia="Times New Roman"/>
          <w:i/>
          <w:iCs/>
          <w:sz w:val="18"/>
          <w:szCs w:val="18"/>
          <w:lang w:eastAsia="en-US"/>
        </w:rPr>
        <w:t xml:space="preserve">; however, its reliability is uncertain because it was prepared prior to the adoption of </w:t>
      </w:r>
      <w:r w:rsidR="009D1003">
        <w:rPr>
          <w:rFonts w:eastAsia="Times New Roman"/>
          <w:i/>
          <w:iCs/>
          <w:sz w:val="18"/>
          <w:szCs w:val="18"/>
          <w:lang w:eastAsia="en-US"/>
        </w:rPr>
        <w:t xml:space="preserve">the </w:t>
      </w:r>
      <w:r w:rsidRPr="00FF69BF">
        <w:rPr>
          <w:rFonts w:eastAsia="Times New Roman"/>
          <w:i/>
          <w:iCs/>
          <w:sz w:val="18"/>
          <w:szCs w:val="18"/>
          <w:lang w:eastAsia="en-US"/>
        </w:rPr>
        <w:t xml:space="preserve">current CIM Definition Standards and </w:t>
      </w:r>
      <w:r w:rsidR="005F7F60">
        <w:rPr>
          <w:rFonts w:eastAsia="Times New Roman"/>
          <w:i/>
          <w:iCs/>
          <w:sz w:val="18"/>
          <w:szCs w:val="18"/>
          <w:lang w:eastAsia="en-US"/>
        </w:rPr>
        <w:t>current</w:t>
      </w:r>
      <w:r w:rsidR="005F7F60" w:rsidRPr="00FF69BF">
        <w:rPr>
          <w:rFonts w:eastAsia="Times New Roman"/>
          <w:i/>
          <w:iCs/>
          <w:sz w:val="18"/>
          <w:szCs w:val="18"/>
          <w:lang w:eastAsia="en-US"/>
        </w:rPr>
        <w:t xml:space="preserve"> </w:t>
      </w:r>
      <w:r w:rsidRPr="00FF69BF">
        <w:rPr>
          <w:rFonts w:eastAsia="Times New Roman"/>
          <w:i/>
          <w:iCs/>
          <w:sz w:val="18"/>
          <w:szCs w:val="18"/>
          <w:lang w:eastAsia="en-US"/>
        </w:rPr>
        <w:t xml:space="preserve">QA/QC practices. The </w:t>
      </w:r>
      <w:r w:rsidR="00C14195">
        <w:rPr>
          <w:rFonts w:eastAsia="Times New Roman"/>
          <w:i/>
          <w:iCs/>
          <w:sz w:val="18"/>
          <w:szCs w:val="18"/>
          <w:lang w:eastAsia="en-US"/>
        </w:rPr>
        <w:t>Historical MRE</w:t>
      </w:r>
      <w:r w:rsidRPr="00FF69BF">
        <w:rPr>
          <w:rFonts w:eastAsia="Times New Roman"/>
          <w:i/>
          <w:iCs/>
          <w:sz w:val="18"/>
          <w:szCs w:val="18"/>
          <w:lang w:eastAsia="en-US"/>
        </w:rPr>
        <w:t xml:space="preserve"> provides limited disclosure of assumptions, parameters, estimation methods, cutoff grades, and QA/QC protocols, and therefore these cannot be fully verified by the Company. The categories used in the historical estimate predate, and are not directly comparable to, current CIM Definition Standards, and the Company is not treating the </w:t>
      </w:r>
      <w:r w:rsidR="00C255DC">
        <w:rPr>
          <w:rFonts w:eastAsia="Times New Roman"/>
          <w:i/>
          <w:iCs/>
          <w:sz w:val="18"/>
          <w:szCs w:val="18"/>
          <w:lang w:eastAsia="en-US"/>
        </w:rPr>
        <w:t>Historical MRE</w:t>
      </w:r>
      <w:r w:rsidRPr="00FF69BF">
        <w:rPr>
          <w:rFonts w:eastAsia="Times New Roman"/>
          <w:i/>
          <w:iCs/>
          <w:sz w:val="18"/>
          <w:szCs w:val="18"/>
          <w:lang w:eastAsia="en-US"/>
        </w:rPr>
        <w:t xml:space="preserve"> as a current </w:t>
      </w:r>
      <w:r w:rsidR="00C255DC">
        <w:rPr>
          <w:rFonts w:eastAsia="Times New Roman"/>
          <w:i/>
          <w:iCs/>
          <w:sz w:val="18"/>
          <w:szCs w:val="18"/>
          <w:lang w:eastAsia="en-US"/>
        </w:rPr>
        <w:t>M</w:t>
      </w:r>
      <w:r w:rsidR="00C255DC" w:rsidRPr="00FF69BF">
        <w:rPr>
          <w:rFonts w:eastAsia="Times New Roman"/>
          <w:i/>
          <w:iCs/>
          <w:sz w:val="18"/>
          <w:szCs w:val="18"/>
          <w:lang w:eastAsia="en-US"/>
        </w:rPr>
        <w:t xml:space="preserve">ineral </w:t>
      </w:r>
      <w:r w:rsidR="00C255DC">
        <w:rPr>
          <w:rFonts w:eastAsia="Times New Roman"/>
          <w:i/>
          <w:iCs/>
          <w:sz w:val="18"/>
          <w:szCs w:val="18"/>
          <w:lang w:eastAsia="en-US"/>
        </w:rPr>
        <w:t>R</w:t>
      </w:r>
      <w:r w:rsidRPr="00FF69BF">
        <w:rPr>
          <w:rFonts w:eastAsia="Times New Roman"/>
          <w:i/>
          <w:iCs/>
          <w:sz w:val="18"/>
          <w:szCs w:val="18"/>
          <w:lang w:eastAsia="en-US"/>
        </w:rPr>
        <w:t>esource</w:t>
      </w:r>
      <w:r w:rsidR="00C255DC">
        <w:rPr>
          <w:rFonts w:eastAsia="Times New Roman"/>
          <w:i/>
          <w:iCs/>
          <w:sz w:val="18"/>
          <w:szCs w:val="18"/>
          <w:lang w:eastAsia="en-US"/>
        </w:rPr>
        <w:t xml:space="preserve"> Estimate</w:t>
      </w:r>
      <w:r w:rsidRPr="00FF69BF">
        <w:rPr>
          <w:rFonts w:eastAsia="Times New Roman"/>
          <w:i/>
          <w:iCs/>
          <w:sz w:val="18"/>
          <w:szCs w:val="18"/>
          <w:lang w:eastAsia="en-US"/>
        </w:rPr>
        <w:t>.</w:t>
      </w:r>
      <w:r w:rsidR="00FF69BF">
        <w:rPr>
          <w:rFonts w:eastAsia="Times New Roman"/>
          <w:i/>
          <w:iCs/>
          <w:sz w:val="18"/>
          <w:szCs w:val="18"/>
          <w:lang w:eastAsia="en-US"/>
        </w:rPr>
        <w:t xml:space="preserve"> </w:t>
      </w:r>
      <w:r w:rsidRPr="00C14195">
        <w:rPr>
          <w:rFonts w:eastAsia="Times New Roman"/>
          <w:i/>
          <w:iCs/>
          <w:sz w:val="18"/>
          <w:szCs w:val="18"/>
          <w:lang w:eastAsia="en-US"/>
        </w:rPr>
        <w:t xml:space="preserve">To upgrade and verify the Historical MRE </w:t>
      </w:r>
      <w:proofErr w:type="gramStart"/>
      <w:r w:rsidR="00092769">
        <w:rPr>
          <w:rFonts w:eastAsia="Times New Roman"/>
          <w:i/>
          <w:iCs/>
          <w:sz w:val="18"/>
          <w:szCs w:val="18"/>
          <w:lang w:eastAsia="en-US"/>
        </w:rPr>
        <w:t xml:space="preserve">in order </w:t>
      </w:r>
      <w:r w:rsidRPr="00C14195">
        <w:rPr>
          <w:rFonts w:eastAsia="Times New Roman"/>
          <w:i/>
          <w:iCs/>
          <w:sz w:val="18"/>
          <w:szCs w:val="18"/>
          <w:lang w:eastAsia="en-US"/>
        </w:rPr>
        <w:t>to</w:t>
      </w:r>
      <w:proofErr w:type="gramEnd"/>
      <w:r w:rsidRPr="00C14195">
        <w:rPr>
          <w:rFonts w:eastAsia="Times New Roman"/>
          <w:i/>
          <w:iCs/>
          <w:sz w:val="18"/>
          <w:szCs w:val="18"/>
          <w:lang w:eastAsia="en-US"/>
        </w:rPr>
        <w:t xml:space="preserve"> </w:t>
      </w:r>
      <w:r w:rsidR="00092769">
        <w:rPr>
          <w:rFonts w:eastAsia="Times New Roman"/>
          <w:i/>
          <w:iCs/>
          <w:sz w:val="18"/>
          <w:szCs w:val="18"/>
          <w:lang w:eastAsia="en-US"/>
        </w:rPr>
        <w:t xml:space="preserve">make it </w:t>
      </w:r>
      <w:r w:rsidRPr="00C14195">
        <w:rPr>
          <w:rFonts w:eastAsia="Times New Roman"/>
          <w:i/>
          <w:iCs/>
          <w:sz w:val="18"/>
          <w:szCs w:val="18"/>
          <w:lang w:eastAsia="en-US"/>
        </w:rPr>
        <w:t xml:space="preserve">a current </w:t>
      </w:r>
      <w:r w:rsidR="00C255DC">
        <w:rPr>
          <w:rFonts w:eastAsia="Times New Roman"/>
          <w:i/>
          <w:iCs/>
          <w:sz w:val="18"/>
          <w:szCs w:val="18"/>
          <w:lang w:eastAsia="en-US"/>
        </w:rPr>
        <w:t>M</w:t>
      </w:r>
      <w:r w:rsidR="00C255DC" w:rsidRPr="00C14195">
        <w:rPr>
          <w:rFonts w:eastAsia="Times New Roman"/>
          <w:i/>
          <w:iCs/>
          <w:sz w:val="18"/>
          <w:szCs w:val="18"/>
          <w:lang w:eastAsia="en-US"/>
        </w:rPr>
        <w:t xml:space="preserve">ineral </w:t>
      </w:r>
      <w:r w:rsidR="00C255DC">
        <w:rPr>
          <w:rFonts w:eastAsia="Times New Roman"/>
          <w:i/>
          <w:iCs/>
          <w:sz w:val="18"/>
          <w:szCs w:val="18"/>
          <w:lang w:eastAsia="en-US"/>
        </w:rPr>
        <w:t>R</w:t>
      </w:r>
      <w:r w:rsidRPr="00C14195">
        <w:rPr>
          <w:rFonts w:eastAsia="Times New Roman"/>
          <w:i/>
          <w:iCs/>
          <w:sz w:val="18"/>
          <w:szCs w:val="18"/>
          <w:lang w:eastAsia="en-US"/>
        </w:rPr>
        <w:t>esource</w:t>
      </w:r>
      <w:r w:rsidR="00C255DC">
        <w:rPr>
          <w:rFonts w:eastAsia="Times New Roman"/>
          <w:i/>
          <w:iCs/>
          <w:sz w:val="18"/>
          <w:szCs w:val="18"/>
          <w:lang w:eastAsia="en-US"/>
        </w:rPr>
        <w:t xml:space="preserve"> Estimate</w:t>
      </w:r>
      <w:r w:rsidRPr="00C14195">
        <w:rPr>
          <w:rFonts w:eastAsia="Times New Roman"/>
          <w:i/>
          <w:iCs/>
          <w:sz w:val="18"/>
          <w:szCs w:val="18"/>
          <w:lang w:eastAsia="en-US"/>
        </w:rPr>
        <w:t>, the Company would be required to undertake confirmatory drilling, modern QA/QC sampling, validation and digitization of historical datasets and updated geological modeling followed by</w:t>
      </w:r>
      <w:r w:rsidR="004A2B59">
        <w:rPr>
          <w:rFonts w:eastAsia="Times New Roman"/>
          <w:i/>
          <w:iCs/>
          <w:sz w:val="18"/>
          <w:szCs w:val="18"/>
          <w:lang w:eastAsia="en-US"/>
        </w:rPr>
        <w:t xml:space="preserve"> </w:t>
      </w:r>
      <w:proofErr w:type="gramStart"/>
      <w:r w:rsidR="004A2B59">
        <w:rPr>
          <w:rFonts w:eastAsia="Times New Roman"/>
          <w:i/>
          <w:iCs/>
          <w:sz w:val="18"/>
          <w:szCs w:val="18"/>
          <w:lang w:eastAsia="en-US"/>
        </w:rPr>
        <w:t xml:space="preserve">the </w:t>
      </w:r>
      <w:r w:rsidRPr="00C14195">
        <w:rPr>
          <w:rFonts w:eastAsia="Times New Roman"/>
          <w:i/>
          <w:iCs/>
          <w:sz w:val="18"/>
          <w:szCs w:val="18"/>
          <w:lang w:eastAsia="en-US"/>
        </w:rPr>
        <w:t xml:space="preserve"> preparation</w:t>
      </w:r>
      <w:proofErr w:type="gramEnd"/>
      <w:r w:rsidRPr="00C14195">
        <w:rPr>
          <w:rFonts w:eastAsia="Times New Roman"/>
          <w:i/>
          <w:iCs/>
          <w:sz w:val="18"/>
          <w:szCs w:val="18"/>
          <w:lang w:eastAsia="en-US"/>
        </w:rPr>
        <w:t xml:space="preserve"> of a new </w:t>
      </w:r>
      <w:r w:rsidR="00C255DC">
        <w:rPr>
          <w:rFonts w:eastAsia="Times New Roman"/>
          <w:i/>
          <w:iCs/>
          <w:sz w:val="18"/>
          <w:szCs w:val="18"/>
          <w:lang w:eastAsia="en-US"/>
        </w:rPr>
        <w:t>Mineral Re</w:t>
      </w:r>
      <w:r w:rsidRPr="00C14195">
        <w:rPr>
          <w:rFonts w:eastAsia="Times New Roman"/>
          <w:i/>
          <w:iCs/>
          <w:sz w:val="18"/>
          <w:szCs w:val="18"/>
          <w:lang w:eastAsia="en-US"/>
        </w:rPr>
        <w:t xml:space="preserve">source </w:t>
      </w:r>
      <w:r w:rsidR="00C255DC">
        <w:rPr>
          <w:rFonts w:eastAsia="Times New Roman"/>
          <w:i/>
          <w:iCs/>
          <w:sz w:val="18"/>
          <w:szCs w:val="18"/>
          <w:lang w:eastAsia="en-US"/>
        </w:rPr>
        <w:t>E</w:t>
      </w:r>
      <w:r w:rsidR="00C255DC" w:rsidRPr="00C14195">
        <w:rPr>
          <w:rFonts w:eastAsia="Times New Roman"/>
          <w:i/>
          <w:iCs/>
          <w:sz w:val="18"/>
          <w:szCs w:val="18"/>
          <w:lang w:eastAsia="en-US"/>
        </w:rPr>
        <w:t xml:space="preserve">stimate </w:t>
      </w:r>
      <w:r w:rsidRPr="00C14195">
        <w:rPr>
          <w:rFonts w:eastAsia="Times New Roman"/>
          <w:i/>
          <w:iCs/>
          <w:sz w:val="18"/>
          <w:szCs w:val="18"/>
          <w:lang w:eastAsia="en-US"/>
        </w:rPr>
        <w:t xml:space="preserve">in accordance with CIM Definition Standards and </w:t>
      </w:r>
      <w:r w:rsidR="00EB1D51">
        <w:rPr>
          <w:rFonts w:eastAsia="Times New Roman"/>
          <w:i/>
          <w:iCs/>
          <w:sz w:val="18"/>
          <w:szCs w:val="18"/>
          <w:lang w:eastAsia="en-US"/>
        </w:rPr>
        <w:t>NI 43-101</w:t>
      </w:r>
      <w:r w:rsidRPr="00C14195">
        <w:rPr>
          <w:rFonts w:eastAsia="Times New Roman"/>
          <w:i/>
          <w:iCs/>
          <w:sz w:val="18"/>
          <w:szCs w:val="18"/>
          <w:lang w:eastAsia="en-US"/>
        </w:rPr>
        <w:t>.</w:t>
      </w:r>
      <w:r w:rsidR="00045F75">
        <w:rPr>
          <w:rFonts w:eastAsia="Times New Roman"/>
          <w:i/>
          <w:iCs/>
          <w:sz w:val="18"/>
          <w:szCs w:val="18"/>
          <w:lang w:eastAsia="en-US"/>
        </w:rPr>
        <w:t xml:space="preserve"> </w:t>
      </w:r>
      <w:r w:rsidR="00045F75" w:rsidRPr="00FF69BF">
        <w:rPr>
          <w:rFonts w:eastAsia="Times New Roman"/>
          <w:i/>
          <w:iCs/>
          <w:sz w:val="18"/>
          <w:szCs w:val="18"/>
          <w:lang w:eastAsia="en-US"/>
        </w:rPr>
        <w:t>The Company encourages readers to exercise appropriate caution when evaluating</w:t>
      </w:r>
      <w:r w:rsidR="00045F75">
        <w:rPr>
          <w:rFonts w:eastAsia="Times New Roman"/>
          <w:i/>
          <w:iCs/>
          <w:sz w:val="18"/>
          <w:szCs w:val="18"/>
          <w:lang w:eastAsia="en-US"/>
        </w:rPr>
        <w:t xml:space="preserve"> the Historical MRE</w:t>
      </w:r>
      <w:r w:rsidR="00045F75" w:rsidRPr="00FF69BF">
        <w:rPr>
          <w:rFonts w:eastAsia="Times New Roman"/>
          <w:i/>
          <w:iCs/>
          <w:sz w:val="18"/>
          <w:szCs w:val="18"/>
          <w:lang w:eastAsia="en-US"/>
        </w:rPr>
        <w:t>.</w:t>
      </w:r>
    </w:p>
    <w:p w14:paraId="2CF4C324" w14:textId="77777777" w:rsidR="00DF4C4C" w:rsidRDefault="00DF4C4C" w:rsidP="00DF4C4C">
      <w:pPr>
        <w:pStyle w:val="ListParagraph"/>
        <w:spacing w:before="100" w:beforeAutospacing="1" w:after="100" w:afterAutospacing="1" w:line="240" w:lineRule="auto"/>
        <w:ind w:left="360"/>
        <w:jc w:val="both"/>
        <w:rPr>
          <w:rFonts w:eastAsia="Times New Roman"/>
          <w:i/>
          <w:iCs/>
          <w:sz w:val="18"/>
          <w:szCs w:val="18"/>
          <w:lang w:eastAsia="en-US"/>
        </w:rPr>
      </w:pPr>
    </w:p>
    <w:p w14:paraId="6B46D2B4" w14:textId="2BDFAA15" w:rsidR="00DF4C4C" w:rsidRDefault="00DF4C4C" w:rsidP="007B16CB">
      <w:pPr>
        <w:pStyle w:val="ListParagraph"/>
        <w:spacing w:before="100" w:beforeAutospacing="1" w:after="100" w:afterAutospacing="1" w:line="240" w:lineRule="auto"/>
        <w:ind w:left="360"/>
        <w:jc w:val="both"/>
        <w:rPr>
          <w:rFonts w:eastAsia="Times New Roman"/>
          <w:i/>
          <w:iCs/>
          <w:sz w:val="18"/>
          <w:szCs w:val="18"/>
          <w:lang w:eastAsia="en-US"/>
        </w:rPr>
      </w:pPr>
      <w:r w:rsidRPr="00756D8F">
        <w:rPr>
          <w:rFonts w:eastAsia="Times New Roman"/>
          <w:i/>
          <w:iCs/>
          <w:sz w:val="18"/>
          <w:szCs w:val="18"/>
          <w:lang w:eastAsia="en-US"/>
        </w:rPr>
        <w:t xml:space="preserve">All scientific and technical information relating to Manhattan pertaining to </w:t>
      </w:r>
      <w:r w:rsidR="005F7F60" w:rsidRPr="00756D8F">
        <w:rPr>
          <w:rFonts w:eastAsia="Times New Roman"/>
          <w:i/>
          <w:iCs/>
          <w:sz w:val="18"/>
          <w:szCs w:val="18"/>
          <w:lang w:eastAsia="en-US"/>
        </w:rPr>
        <w:t xml:space="preserve">the </w:t>
      </w:r>
      <w:r w:rsidRPr="00756D8F">
        <w:rPr>
          <w:rFonts w:eastAsia="Times New Roman"/>
          <w:i/>
          <w:iCs/>
          <w:sz w:val="18"/>
          <w:szCs w:val="18"/>
          <w:lang w:eastAsia="en-US"/>
        </w:rPr>
        <w:t xml:space="preserve">Historical MRE contained in this news release is derived from the Technical Report dated </w:t>
      </w:r>
      <w:r w:rsidR="00887FD6">
        <w:rPr>
          <w:rFonts w:eastAsia="Times New Roman"/>
          <w:i/>
          <w:iCs/>
          <w:sz w:val="18"/>
          <w:szCs w:val="18"/>
          <w:lang w:eastAsia="en-US"/>
        </w:rPr>
        <w:t>May 1997</w:t>
      </w:r>
      <w:r w:rsidRPr="00756D8F">
        <w:rPr>
          <w:rFonts w:eastAsia="Times New Roman"/>
          <w:i/>
          <w:iCs/>
          <w:sz w:val="18"/>
          <w:szCs w:val="18"/>
          <w:lang w:eastAsia="en-US"/>
        </w:rPr>
        <w:t xml:space="preserve"> titled “</w:t>
      </w:r>
      <w:r w:rsidR="00887FD6" w:rsidRPr="00756D8F">
        <w:rPr>
          <w:i/>
          <w:iCs/>
          <w:sz w:val="18"/>
          <w:szCs w:val="18"/>
        </w:rPr>
        <w:t>Exploration and Pre-Production Mine Development, Manhattan District Project, Nye County</w:t>
      </w:r>
      <w:r w:rsidRPr="00756D8F">
        <w:rPr>
          <w:rFonts w:eastAsia="Times New Roman"/>
          <w:i/>
          <w:iCs/>
          <w:sz w:val="18"/>
          <w:szCs w:val="18"/>
          <w:lang w:eastAsia="en-US"/>
        </w:rPr>
        <w:t>” (the “</w:t>
      </w:r>
      <w:r w:rsidRPr="00756D8F">
        <w:rPr>
          <w:rFonts w:eastAsia="Times New Roman"/>
          <w:b/>
          <w:bCs/>
          <w:i/>
          <w:iCs/>
          <w:sz w:val="18"/>
          <w:szCs w:val="18"/>
          <w:lang w:eastAsia="en-US"/>
        </w:rPr>
        <w:t>Historical Technical Report</w:t>
      </w:r>
      <w:r w:rsidRPr="00756D8F">
        <w:rPr>
          <w:rFonts w:eastAsia="Times New Roman"/>
          <w:i/>
          <w:iCs/>
          <w:sz w:val="18"/>
          <w:szCs w:val="18"/>
          <w:lang w:eastAsia="en-US"/>
        </w:rPr>
        <w:t xml:space="preserve">”) prepared by </w:t>
      </w:r>
      <w:r w:rsidR="00887FD6">
        <w:rPr>
          <w:rFonts w:eastAsia="Times New Roman"/>
          <w:i/>
          <w:iCs/>
          <w:sz w:val="18"/>
          <w:szCs w:val="18"/>
          <w:lang w:eastAsia="en-US"/>
        </w:rPr>
        <w:t xml:space="preserve">New Concept Mining, </w:t>
      </w:r>
      <w:proofErr w:type="gramStart"/>
      <w:r w:rsidR="00887FD6">
        <w:rPr>
          <w:rFonts w:eastAsia="Times New Roman"/>
          <w:i/>
          <w:iCs/>
          <w:sz w:val="18"/>
          <w:szCs w:val="18"/>
          <w:lang w:eastAsia="en-US"/>
        </w:rPr>
        <w:t>Inc.</w:t>
      </w:r>
      <w:r w:rsidRPr="00756D8F">
        <w:rPr>
          <w:rFonts w:eastAsia="Times New Roman"/>
          <w:i/>
          <w:iCs/>
          <w:sz w:val="18"/>
          <w:szCs w:val="18"/>
          <w:lang w:eastAsia="en-US"/>
        </w:rPr>
        <w:t>.</w:t>
      </w:r>
      <w:proofErr w:type="gramEnd"/>
      <w:r w:rsidRPr="00756D8F">
        <w:rPr>
          <w:rFonts w:eastAsia="Times New Roman"/>
          <w:i/>
          <w:iCs/>
          <w:sz w:val="18"/>
          <w:szCs w:val="18"/>
          <w:lang w:eastAsia="en-US"/>
        </w:rPr>
        <w:t xml:space="preserve"> The information contained herein in respect of the </w:t>
      </w:r>
      <w:r w:rsidR="00143E4C" w:rsidRPr="00756D8F">
        <w:rPr>
          <w:rFonts w:eastAsia="Times New Roman"/>
          <w:i/>
          <w:iCs/>
          <w:sz w:val="18"/>
          <w:szCs w:val="18"/>
          <w:lang w:eastAsia="en-US"/>
        </w:rPr>
        <w:t xml:space="preserve">Historical </w:t>
      </w:r>
      <w:r w:rsidRPr="00756D8F">
        <w:rPr>
          <w:rFonts w:eastAsia="Times New Roman"/>
          <w:i/>
          <w:iCs/>
          <w:sz w:val="18"/>
          <w:szCs w:val="18"/>
          <w:lang w:eastAsia="en-US"/>
        </w:rPr>
        <w:t xml:space="preserve">MRE is subject to </w:t>
      </w:r>
      <w:proofErr w:type="gramStart"/>
      <w:r w:rsidRPr="00756D8F">
        <w:rPr>
          <w:rFonts w:eastAsia="Times New Roman"/>
          <w:i/>
          <w:iCs/>
          <w:sz w:val="18"/>
          <w:szCs w:val="18"/>
          <w:lang w:eastAsia="en-US"/>
        </w:rPr>
        <w:t>all of</w:t>
      </w:r>
      <w:proofErr w:type="gramEnd"/>
      <w:r w:rsidRPr="00756D8F">
        <w:rPr>
          <w:rFonts w:eastAsia="Times New Roman"/>
          <w:i/>
          <w:iCs/>
          <w:sz w:val="18"/>
          <w:szCs w:val="18"/>
          <w:lang w:eastAsia="en-US"/>
        </w:rPr>
        <w:t xml:space="preserve"> the assumptions, qualifications and procedures set out in the Historical Technical Report and reference should be made to the full text of the Historical Technical Report</w:t>
      </w:r>
      <w:r w:rsidR="00887FD6">
        <w:rPr>
          <w:rFonts w:eastAsia="Times New Roman"/>
          <w:i/>
          <w:iCs/>
          <w:sz w:val="18"/>
          <w:szCs w:val="18"/>
          <w:lang w:eastAsia="en-US"/>
        </w:rPr>
        <w:t>.</w:t>
      </w:r>
    </w:p>
    <w:p w14:paraId="05B53E3E" w14:textId="77777777" w:rsidR="00FF69BF" w:rsidRPr="00C14195" w:rsidRDefault="00FF69BF" w:rsidP="00C14195">
      <w:pPr>
        <w:pStyle w:val="ListParagraph"/>
        <w:spacing w:before="100" w:beforeAutospacing="1" w:after="100" w:afterAutospacing="1" w:line="240" w:lineRule="auto"/>
        <w:jc w:val="both"/>
        <w:rPr>
          <w:rFonts w:eastAsia="Times New Roman"/>
          <w:i/>
          <w:iCs/>
          <w:sz w:val="18"/>
          <w:szCs w:val="18"/>
          <w:lang w:eastAsia="en-US"/>
        </w:rPr>
      </w:pPr>
    </w:p>
    <w:p w14:paraId="0D2C0819" w14:textId="1630EF8E" w:rsidR="00D6740B" w:rsidRPr="007B16CB" w:rsidRDefault="00FF69BF" w:rsidP="007B16CB">
      <w:pPr>
        <w:pStyle w:val="ListParagraph"/>
        <w:numPr>
          <w:ilvl w:val="0"/>
          <w:numId w:val="11"/>
        </w:numPr>
        <w:spacing w:line="240" w:lineRule="auto"/>
        <w:ind w:left="360"/>
        <w:jc w:val="both"/>
        <w:rPr>
          <w:sz w:val="18"/>
          <w:szCs w:val="18"/>
        </w:rPr>
      </w:pPr>
      <w:r w:rsidRPr="009D1003">
        <w:rPr>
          <w:b/>
          <w:bCs/>
          <w:i/>
          <w:iCs/>
          <w:sz w:val="18"/>
          <w:szCs w:val="18"/>
        </w:rPr>
        <w:t>References</w:t>
      </w:r>
      <w:r w:rsidRPr="009D1003">
        <w:rPr>
          <w:i/>
          <w:iCs/>
          <w:sz w:val="18"/>
          <w:szCs w:val="18"/>
        </w:rPr>
        <w:t xml:space="preserve">: (1) </w:t>
      </w:r>
      <w:r w:rsidR="009C370C" w:rsidRPr="009D1003">
        <w:rPr>
          <w:i/>
          <w:iCs/>
          <w:sz w:val="18"/>
          <w:szCs w:val="18"/>
        </w:rPr>
        <w:t>Strachan, D. G., and Master, T. D., 2005: Update and Revision of the Gold Wedge Project Development, Nye County</w:t>
      </w:r>
      <w:r w:rsidR="00533575" w:rsidRPr="009D1003">
        <w:rPr>
          <w:i/>
          <w:iCs/>
          <w:sz w:val="18"/>
          <w:szCs w:val="18"/>
        </w:rPr>
        <w:t xml:space="preserve">. Report prepared for </w:t>
      </w:r>
      <w:r w:rsidR="009C370C" w:rsidRPr="009D1003">
        <w:rPr>
          <w:i/>
          <w:iCs/>
          <w:sz w:val="18"/>
          <w:szCs w:val="18"/>
        </w:rPr>
        <w:t>Nevada; Royal Standard Minerals</w:t>
      </w:r>
      <w:r w:rsidR="00533575" w:rsidRPr="009D1003">
        <w:rPr>
          <w:i/>
          <w:iCs/>
          <w:sz w:val="18"/>
          <w:szCs w:val="18"/>
        </w:rPr>
        <w:t>,</w:t>
      </w:r>
      <w:r w:rsidR="009C370C" w:rsidRPr="009D1003">
        <w:rPr>
          <w:i/>
          <w:iCs/>
          <w:sz w:val="18"/>
          <w:szCs w:val="18"/>
        </w:rPr>
        <w:t xml:space="preserve"> Inc.</w:t>
      </w:r>
      <w:r w:rsidR="00533575" w:rsidRPr="009D1003">
        <w:rPr>
          <w:i/>
          <w:iCs/>
          <w:sz w:val="18"/>
          <w:szCs w:val="18"/>
        </w:rPr>
        <w:t xml:space="preserve"> and dated March 31, 2005;</w:t>
      </w:r>
      <w:r w:rsidRPr="009D1003">
        <w:rPr>
          <w:i/>
          <w:iCs/>
          <w:sz w:val="18"/>
          <w:szCs w:val="18"/>
        </w:rPr>
        <w:t xml:space="preserve"> (2) </w:t>
      </w:r>
      <w:proofErr w:type="spellStart"/>
      <w:r w:rsidR="009C370C" w:rsidRPr="009D1003">
        <w:rPr>
          <w:i/>
          <w:iCs/>
          <w:sz w:val="18"/>
          <w:szCs w:val="18"/>
        </w:rPr>
        <w:t>Dumlala</w:t>
      </w:r>
      <w:proofErr w:type="spellEnd"/>
      <w:r w:rsidR="009C370C" w:rsidRPr="009D1003">
        <w:rPr>
          <w:i/>
          <w:iCs/>
          <w:sz w:val="18"/>
          <w:szCs w:val="18"/>
        </w:rPr>
        <w:t>, M. R., and Lowry, P., 2025:</w:t>
      </w:r>
      <w:r w:rsidR="009C370C" w:rsidRPr="009D1003">
        <w:rPr>
          <w:i/>
          <w:iCs/>
          <w:sz w:val="18"/>
          <w:szCs w:val="18"/>
          <w:lang w:val="en-US"/>
        </w:rPr>
        <w:t xml:space="preserve"> Mineral Resource Estimate and NI 43-101 Technical Report, Manhattan </w:t>
      </w:r>
      <w:r w:rsidR="009C370C" w:rsidRPr="00DF4C4C">
        <w:rPr>
          <w:i/>
          <w:iCs/>
          <w:sz w:val="18"/>
          <w:szCs w:val="18"/>
          <w:lang w:val="en-US"/>
        </w:rPr>
        <w:t>Property, Nye County, Nevada</w:t>
      </w:r>
      <w:r w:rsidR="00533575" w:rsidRPr="00DF4C4C">
        <w:rPr>
          <w:i/>
          <w:iCs/>
          <w:sz w:val="18"/>
          <w:szCs w:val="18"/>
          <w:lang w:val="en-US"/>
        </w:rPr>
        <w:t>. Report prepared for</w:t>
      </w:r>
      <w:r w:rsidR="009C370C" w:rsidRPr="00DF4C4C">
        <w:rPr>
          <w:i/>
          <w:iCs/>
          <w:sz w:val="18"/>
          <w:szCs w:val="18"/>
          <w:lang w:val="en-US"/>
        </w:rPr>
        <w:t xml:space="preserve"> Scorpio Gold Corp</w:t>
      </w:r>
      <w:r w:rsidR="00533575" w:rsidRPr="00DF4C4C">
        <w:rPr>
          <w:i/>
          <w:iCs/>
          <w:sz w:val="18"/>
          <w:szCs w:val="18"/>
          <w:lang w:val="en-US"/>
        </w:rPr>
        <w:t>oration</w:t>
      </w:r>
      <w:r w:rsidR="00D77CCF" w:rsidRPr="00DF4C4C">
        <w:rPr>
          <w:i/>
          <w:iCs/>
          <w:sz w:val="18"/>
          <w:szCs w:val="18"/>
          <w:lang w:val="en-US"/>
        </w:rPr>
        <w:t xml:space="preserve"> and dated October 23, 2025 (</w:t>
      </w:r>
      <w:r w:rsidR="00533575" w:rsidRPr="00DF4C4C">
        <w:rPr>
          <w:i/>
          <w:iCs/>
          <w:sz w:val="18"/>
          <w:szCs w:val="18"/>
          <w:lang w:val="en-US"/>
        </w:rPr>
        <w:t xml:space="preserve">with </w:t>
      </w:r>
      <w:r w:rsidR="00533575" w:rsidRPr="00756D8F">
        <w:rPr>
          <w:i/>
          <w:iCs/>
          <w:sz w:val="18"/>
          <w:szCs w:val="18"/>
          <w:lang w:val="en-US"/>
        </w:rPr>
        <w:t>an effective date of June 4, 2025</w:t>
      </w:r>
      <w:r w:rsidR="00D77CCF" w:rsidRPr="00756D8F">
        <w:rPr>
          <w:i/>
          <w:iCs/>
          <w:sz w:val="18"/>
          <w:szCs w:val="18"/>
          <w:lang w:val="en-US"/>
        </w:rPr>
        <w:t>)</w:t>
      </w:r>
      <w:r w:rsidR="00B3230B" w:rsidRPr="00756D8F">
        <w:rPr>
          <w:i/>
          <w:iCs/>
          <w:sz w:val="18"/>
          <w:szCs w:val="18"/>
          <w:lang w:val="en-US"/>
        </w:rPr>
        <w:t>;</w:t>
      </w:r>
      <w:r w:rsidRPr="00756D8F">
        <w:rPr>
          <w:i/>
          <w:iCs/>
          <w:sz w:val="18"/>
          <w:szCs w:val="18"/>
          <w:lang w:val="en-US"/>
        </w:rPr>
        <w:t xml:space="preserve"> and (3) </w:t>
      </w:r>
      <w:r w:rsidR="009C370C" w:rsidRPr="00756D8F">
        <w:rPr>
          <w:i/>
          <w:iCs/>
          <w:sz w:val="18"/>
          <w:szCs w:val="18"/>
        </w:rPr>
        <w:t>Berry</w:t>
      </w:r>
      <w:r w:rsidR="009D1003" w:rsidRPr="00756D8F">
        <w:rPr>
          <w:i/>
          <w:iCs/>
          <w:sz w:val="18"/>
          <w:szCs w:val="18"/>
        </w:rPr>
        <w:t>, A</w:t>
      </w:r>
      <w:r w:rsidR="00601A9E" w:rsidRPr="00756D8F">
        <w:rPr>
          <w:i/>
          <w:iCs/>
          <w:sz w:val="18"/>
          <w:szCs w:val="18"/>
        </w:rPr>
        <w:t>.</w:t>
      </w:r>
      <w:r w:rsidR="009D1003" w:rsidRPr="00756D8F">
        <w:rPr>
          <w:i/>
          <w:iCs/>
          <w:sz w:val="18"/>
          <w:szCs w:val="18"/>
        </w:rPr>
        <w:t>,</w:t>
      </w:r>
      <w:r w:rsidR="009C370C" w:rsidRPr="00756D8F">
        <w:rPr>
          <w:i/>
          <w:iCs/>
          <w:sz w:val="18"/>
          <w:szCs w:val="18"/>
        </w:rPr>
        <w:t xml:space="preserve"> and Willard,</w:t>
      </w:r>
      <w:r w:rsidR="009D1003" w:rsidRPr="00756D8F">
        <w:rPr>
          <w:i/>
          <w:iCs/>
          <w:sz w:val="18"/>
          <w:szCs w:val="18"/>
        </w:rPr>
        <w:t xml:space="preserve"> P</w:t>
      </w:r>
      <w:r w:rsidR="00601A9E" w:rsidRPr="00756D8F">
        <w:rPr>
          <w:i/>
          <w:iCs/>
          <w:sz w:val="18"/>
          <w:szCs w:val="18"/>
        </w:rPr>
        <w:t>.</w:t>
      </w:r>
      <w:r w:rsidR="009D1003" w:rsidRPr="00756D8F">
        <w:rPr>
          <w:i/>
          <w:iCs/>
          <w:sz w:val="18"/>
          <w:szCs w:val="18"/>
        </w:rPr>
        <w:t>,</w:t>
      </w:r>
      <w:r w:rsidR="009C370C" w:rsidRPr="00756D8F">
        <w:rPr>
          <w:i/>
          <w:iCs/>
          <w:sz w:val="18"/>
          <w:szCs w:val="18"/>
        </w:rPr>
        <w:t xml:space="preserve"> 1997</w:t>
      </w:r>
      <w:r w:rsidR="009D1003" w:rsidRPr="00756D8F">
        <w:rPr>
          <w:i/>
          <w:iCs/>
          <w:sz w:val="18"/>
          <w:szCs w:val="18"/>
        </w:rPr>
        <w:t>:</w:t>
      </w:r>
      <w:r w:rsidR="009C370C" w:rsidRPr="00756D8F">
        <w:rPr>
          <w:i/>
          <w:iCs/>
          <w:sz w:val="18"/>
          <w:szCs w:val="18"/>
        </w:rPr>
        <w:t xml:space="preserve"> "Exploration and Pre-Production Mine Development, Manhattan District Project, Nye County"</w:t>
      </w:r>
      <w:r w:rsidR="00533575" w:rsidRPr="00756D8F">
        <w:rPr>
          <w:i/>
          <w:iCs/>
          <w:sz w:val="18"/>
          <w:szCs w:val="18"/>
        </w:rPr>
        <w:t>. R</w:t>
      </w:r>
      <w:r w:rsidR="009C370C" w:rsidRPr="00756D8F">
        <w:rPr>
          <w:i/>
          <w:iCs/>
          <w:sz w:val="18"/>
          <w:szCs w:val="18"/>
        </w:rPr>
        <w:t xml:space="preserve">eport prepared </w:t>
      </w:r>
      <w:r w:rsidR="00533575" w:rsidRPr="00756D8F">
        <w:rPr>
          <w:i/>
          <w:iCs/>
          <w:sz w:val="18"/>
          <w:szCs w:val="18"/>
        </w:rPr>
        <w:t xml:space="preserve">for </w:t>
      </w:r>
      <w:r w:rsidR="009C370C" w:rsidRPr="00756D8F">
        <w:rPr>
          <w:i/>
          <w:iCs/>
          <w:sz w:val="18"/>
          <w:szCs w:val="18"/>
        </w:rPr>
        <w:t>New Concept Mining, Inc.</w:t>
      </w:r>
      <w:r w:rsidR="00D77CCF" w:rsidRPr="00756D8F">
        <w:rPr>
          <w:i/>
          <w:iCs/>
          <w:sz w:val="18"/>
          <w:szCs w:val="18"/>
        </w:rPr>
        <w:t xml:space="preserve"> and</w:t>
      </w:r>
      <w:r w:rsidR="00533575" w:rsidRPr="00756D8F" w:rsidDel="00FF69BF">
        <w:rPr>
          <w:i/>
          <w:iCs/>
          <w:sz w:val="18"/>
          <w:szCs w:val="18"/>
        </w:rPr>
        <w:t xml:space="preserve"> </w:t>
      </w:r>
      <w:r w:rsidR="00D77CCF" w:rsidRPr="00756D8F">
        <w:rPr>
          <w:i/>
          <w:iCs/>
          <w:sz w:val="18"/>
          <w:szCs w:val="18"/>
        </w:rPr>
        <w:t xml:space="preserve">dated </w:t>
      </w:r>
      <w:r w:rsidR="00887FD6">
        <w:rPr>
          <w:i/>
          <w:iCs/>
          <w:sz w:val="18"/>
          <w:szCs w:val="18"/>
        </w:rPr>
        <w:t>May 1997</w:t>
      </w:r>
      <w:r w:rsidR="00D77CCF" w:rsidRPr="00756D8F">
        <w:rPr>
          <w:i/>
          <w:iCs/>
          <w:sz w:val="18"/>
          <w:szCs w:val="18"/>
        </w:rPr>
        <w:t>.</w:t>
      </w:r>
      <w:r w:rsidR="00DF4C4C" w:rsidRPr="00DF4C4C">
        <w:rPr>
          <w:i/>
          <w:iCs/>
          <w:sz w:val="18"/>
          <w:szCs w:val="18"/>
        </w:rPr>
        <w:t xml:space="preserve"> </w:t>
      </w:r>
    </w:p>
    <w:p w14:paraId="56C7178E" w14:textId="77777777" w:rsidR="00D6740B" w:rsidRDefault="00D6740B" w:rsidP="00533575">
      <w:pPr>
        <w:pStyle w:val="ListParagraph"/>
        <w:spacing w:line="240" w:lineRule="auto"/>
        <w:ind w:left="360"/>
        <w:jc w:val="both"/>
        <w:rPr>
          <w:b/>
          <w:bCs/>
        </w:rPr>
      </w:pPr>
    </w:p>
    <w:p w14:paraId="2CB4D264" w14:textId="77777777" w:rsidR="00AF4C09" w:rsidRDefault="00AF4C09" w:rsidP="00102060">
      <w:pPr>
        <w:spacing w:line="240" w:lineRule="auto"/>
        <w:ind w:left="-709"/>
        <w:jc w:val="both"/>
        <w:rPr>
          <w:b/>
          <w:bCs/>
        </w:rPr>
      </w:pPr>
      <w:r w:rsidRPr="003B6F35">
        <w:rPr>
          <w:b/>
          <w:bCs/>
        </w:rPr>
        <w:t>Qualified Person</w:t>
      </w:r>
    </w:p>
    <w:p w14:paraId="32FDF714" w14:textId="310A44DD" w:rsidR="00C14195" w:rsidRDefault="00AF4C09" w:rsidP="00C14195">
      <w:pPr>
        <w:keepNext/>
        <w:keepLines/>
        <w:spacing w:line="240" w:lineRule="auto"/>
        <w:ind w:left="-709"/>
        <w:jc w:val="both"/>
      </w:pPr>
      <w:r w:rsidRPr="003B6F35">
        <w:br/>
        <w:t xml:space="preserve">The </w:t>
      </w:r>
      <w:r w:rsidR="003C2274">
        <w:t xml:space="preserve">scientific and </w:t>
      </w:r>
      <w:r w:rsidRPr="003B6F35">
        <w:t>technical information in this news release has been reviewed</w:t>
      </w:r>
      <w:r w:rsidR="008135C6">
        <w:t>, verified</w:t>
      </w:r>
      <w:r w:rsidRPr="003B6F35">
        <w:t xml:space="preserve"> and approved by </w:t>
      </w:r>
      <w:r w:rsidR="00AE76B8">
        <w:t>Leo Hathaway</w:t>
      </w:r>
      <w:r w:rsidRPr="003B6F35">
        <w:t>, P.</w:t>
      </w:r>
      <w:r>
        <w:t xml:space="preserve"> </w:t>
      </w:r>
      <w:r w:rsidRPr="003B6F35">
        <w:t>Geo.,</w:t>
      </w:r>
      <w:r>
        <w:t xml:space="preserve"> Chief Geologist of Scorpio Gold,</w:t>
      </w:r>
      <w:r w:rsidRPr="003B6F35">
        <w:t xml:space="preserve"> a "Qualified Person"</w:t>
      </w:r>
      <w:r w:rsidR="00EB1D51">
        <w:t xml:space="preserve"> </w:t>
      </w:r>
      <w:r w:rsidRPr="003B6F35">
        <w:t>as defined</w:t>
      </w:r>
      <w:r w:rsidR="00FF69BF">
        <w:t xml:space="preserve"> in</w:t>
      </w:r>
      <w:r w:rsidRPr="003B6F35">
        <w:t xml:space="preserve"> </w:t>
      </w:r>
      <w:r w:rsidR="00FF69BF">
        <w:t>NI 43-101</w:t>
      </w:r>
      <w:r w:rsidRPr="003B6F35">
        <w:t>.</w:t>
      </w:r>
      <w:r w:rsidR="003C2274">
        <w:t xml:space="preserve"> </w:t>
      </w:r>
      <w:r w:rsidR="00C14195">
        <w:t xml:space="preserve">Mr. Hathaway is not independent of the Company. Mr. Hathaway </w:t>
      </w:r>
      <w:r w:rsidR="00C14195" w:rsidRPr="00CD70EF">
        <w:t>review</w:t>
      </w:r>
      <w:r w:rsidR="00C14195">
        <w:t>ed</w:t>
      </w:r>
      <w:r w:rsidR="00621167">
        <w:t xml:space="preserve"> and verified</w:t>
      </w:r>
      <w:r w:rsidR="00C14195">
        <w:t xml:space="preserve"> the</w:t>
      </w:r>
      <w:r w:rsidR="00C14195" w:rsidRPr="00CD70EF">
        <w:t xml:space="preserve"> </w:t>
      </w:r>
      <w:r w:rsidR="00C14195" w:rsidRPr="00FF69BF">
        <w:t>sampling, analytical and QA/QC data underlying the technical information disclosed herein</w:t>
      </w:r>
      <w:r w:rsidR="00C14195">
        <w:t>.</w:t>
      </w:r>
    </w:p>
    <w:p w14:paraId="010D2C1F" w14:textId="77777777" w:rsidR="00BE4395" w:rsidRDefault="00BE4395" w:rsidP="00102060">
      <w:pPr>
        <w:spacing w:before="240" w:line="240" w:lineRule="auto"/>
        <w:ind w:left="-709"/>
        <w:contextualSpacing/>
        <w:rPr>
          <w:b/>
          <w:bCs/>
          <w:color w:val="000000" w:themeColor="text1"/>
        </w:rPr>
      </w:pPr>
    </w:p>
    <w:p w14:paraId="71624CB8" w14:textId="7200AFA5" w:rsidR="00BE4395" w:rsidRDefault="00BE4395" w:rsidP="00102060">
      <w:pPr>
        <w:spacing w:before="240" w:line="240" w:lineRule="auto"/>
        <w:ind w:left="-709"/>
        <w:contextualSpacing/>
        <w:rPr>
          <w:color w:val="000000"/>
        </w:rPr>
      </w:pPr>
      <w:r w:rsidRPr="7E1A3F6B">
        <w:rPr>
          <w:b/>
          <w:bCs/>
          <w:color w:val="000000" w:themeColor="text1"/>
        </w:rPr>
        <w:t xml:space="preserve">About Scorpio Gold </w:t>
      </w:r>
      <w:r w:rsidR="00C14195">
        <w:rPr>
          <w:b/>
          <w:bCs/>
          <w:color w:val="000000" w:themeColor="text1"/>
        </w:rPr>
        <w:t>Corporation</w:t>
      </w:r>
      <w:r>
        <w:br/>
      </w:r>
    </w:p>
    <w:p w14:paraId="632621AB" w14:textId="31EFA90F" w:rsidR="00BE4395" w:rsidRDefault="00BE4395" w:rsidP="00102060">
      <w:pPr>
        <w:spacing w:after="160" w:line="257" w:lineRule="auto"/>
        <w:ind w:left="-709"/>
        <w:jc w:val="both"/>
      </w:pPr>
      <w:r w:rsidRPr="7E1A3F6B">
        <w:t>Scorpio Gold holds a 100% interest in the Manhattan District</w:t>
      </w:r>
      <w:r w:rsidR="00C14195">
        <w:t xml:space="preserve"> Project</w:t>
      </w:r>
      <w:r w:rsidRPr="7E1A3F6B">
        <w:t xml:space="preserve"> located in the Walker Lane Trend of Nevada, USA. </w:t>
      </w:r>
      <w:r w:rsidR="00FF69BF">
        <w:t>The</w:t>
      </w:r>
      <w:r w:rsidRPr="7E1A3F6B">
        <w:t xml:space="preserve"> Manhattan District </w:t>
      </w:r>
      <w:r w:rsidR="00C14195">
        <w:t>comprises</w:t>
      </w:r>
      <w:r w:rsidR="00C14195" w:rsidRPr="7E1A3F6B">
        <w:t xml:space="preserve"> </w:t>
      </w:r>
      <w:r w:rsidRPr="7E1A3F6B">
        <w:t>~4,780-hectares</w:t>
      </w:r>
      <w:r w:rsidR="00C14195">
        <w:t xml:space="preserve">, including </w:t>
      </w:r>
      <w:r w:rsidRPr="7E1A3F6B">
        <w:t xml:space="preserve">the advanced exploration-stage </w:t>
      </w:r>
      <w:proofErr w:type="spellStart"/>
      <w:r w:rsidRPr="7E1A3F6B">
        <w:t>Goldwedge</w:t>
      </w:r>
      <w:proofErr w:type="spellEnd"/>
      <w:r w:rsidRPr="7E1A3F6B">
        <w:t xml:space="preserve"> Mine, with a 400 ton per day maximum capacity gravity mill, and four past-producing pits that were acquired from Kinross in 2021 (see </w:t>
      </w:r>
      <w:r>
        <w:t xml:space="preserve">news release dated </w:t>
      </w:r>
      <w:hyperlink r:id="rId13">
        <w:r w:rsidRPr="7E1A3F6B">
          <w:rPr>
            <w:rStyle w:val="Hyperlink"/>
            <w:u w:val="none"/>
          </w:rPr>
          <w:t>March 25, 2021</w:t>
        </w:r>
      </w:hyperlink>
      <w:r w:rsidRPr="7E1A3F6B">
        <w:t>). The Manhattan District presents an exciting late-stage exploration opportunity, with over 140,000 metres of historical drilling, significant resource potential, and valuable permitting and water rights.</w:t>
      </w:r>
      <w:r w:rsidR="00533575">
        <w:t xml:space="preserve"> </w:t>
      </w:r>
    </w:p>
    <w:p w14:paraId="4AD37DD7" w14:textId="77777777" w:rsidR="00BE4395" w:rsidRDefault="00BE4395" w:rsidP="00102060">
      <w:pPr>
        <w:spacing w:after="160" w:line="257" w:lineRule="auto"/>
        <w:ind w:left="-709"/>
        <w:jc w:val="both"/>
        <w:rPr>
          <w:i/>
          <w:iCs/>
        </w:rPr>
      </w:pPr>
      <w:r w:rsidRPr="008F46CF">
        <w:rPr>
          <w:i/>
          <w:iCs/>
        </w:rPr>
        <w:lastRenderedPageBreak/>
        <w:t>Neither the TSX Venture Exchange nor its Regulation Services Provider (as that term is defined in the policies of the Exchange) accepts responsibility for the adequacy or accuracy of this release.</w:t>
      </w:r>
    </w:p>
    <w:p w14:paraId="1529F158" w14:textId="32477845" w:rsidR="00325581" w:rsidRDefault="004E3855" w:rsidP="00045F75">
      <w:pPr>
        <w:keepNext/>
        <w:keepLines/>
        <w:spacing w:after="160" w:line="257" w:lineRule="auto"/>
        <w:ind w:left="-706"/>
        <w:jc w:val="both"/>
        <w:rPr>
          <w:color w:val="000000"/>
        </w:rPr>
      </w:pPr>
      <w:r>
        <w:rPr>
          <w:b/>
          <w:color w:val="000000"/>
        </w:rPr>
        <w:t>ON BEHALF OF THE BOARD OF SCORPIO GOLD CORPORATION</w:t>
      </w:r>
    </w:p>
    <w:p w14:paraId="16C1475E" w14:textId="72B639DF" w:rsidR="00325581" w:rsidRDefault="15A9E5EE" w:rsidP="00045F75">
      <w:pPr>
        <w:keepNext/>
        <w:keepLines/>
        <w:pBdr>
          <w:top w:val="nil"/>
          <w:left w:val="nil"/>
          <w:bottom w:val="nil"/>
          <w:right w:val="nil"/>
          <w:between w:val="nil"/>
        </w:pBdr>
        <w:shd w:val="clear" w:color="auto" w:fill="FFFFFF" w:themeFill="background1"/>
        <w:spacing w:before="300" w:after="300" w:line="240" w:lineRule="auto"/>
        <w:ind w:left="-706"/>
        <w:rPr>
          <w:b/>
          <w:bCs/>
          <w:color w:val="000000"/>
        </w:rPr>
      </w:pPr>
      <w:r w:rsidRPr="15A9E5EE">
        <w:rPr>
          <w:b/>
          <w:bCs/>
          <w:color w:val="000000" w:themeColor="text1"/>
        </w:rPr>
        <w:t>Zayn Kalyan, Chief Executive Officer and Director</w:t>
      </w:r>
      <w:r w:rsidR="004E3855">
        <w:br/>
      </w:r>
      <w:r w:rsidRPr="15A9E5EE">
        <w:rPr>
          <w:color w:val="000000" w:themeColor="text1"/>
        </w:rPr>
        <w:t>Tel: (604)-252-2672</w:t>
      </w:r>
      <w:r w:rsidR="004E3855">
        <w:br/>
      </w:r>
      <w:r w:rsidRPr="15A9E5EE">
        <w:rPr>
          <w:color w:val="000000" w:themeColor="text1"/>
        </w:rPr>
        <w:t xml:space="preserve">Email: </w:t>
      </w:r>
      <w:r w:rsidRPr="15A9E5EE">
        <w:rPr>
          <w:color w:val="000000" w:themeColor="text1"/>
          <w:u w:val="single"/>
        </w:rPr>
        <w:t>zayn@scorpiogold.com</w:t>
      </w:r>
      <w:r w:rsidRPr="15A9E5EE">
        <w:rPr>
          <w:b/>
          <w:bCs/>
          <w:color w:val="000000" w:themeColor="text1"/>
        </w:rPr>
        <w:t>  </w:t>
      </w:r>
    </w:p>
    <w:p w14:paraId="17E132E3" w14:textId="56B1CA0C" w:rsidR="004B68D2" w:rsidRPr="004B68D2" w:rsidRDefault="004B68D2" w:rsidP="004B68D2">
      <w:pPr>
        <w:keepNext/>
        <w:keepLines/>
        <w:pBdr>
          <w:top w:val="nil"/>
          <w:left w:val="nil"/>
          <w:bottom w:val="nil"/>
          <w:right w:val="nil"/>
          <w:between w:val="nil"/>
        </w:pBdr>
        <w:shd w:val="clear" w:color="auto" w:fill="FFFFFF"/>
        <w:spacing w:before="300" w:after="300" w:line="240" w:lineRule="auto"/>
        <w:ind w:left="-709"/>
        <w:rPr>
          <w:color w:val="000000"/>
        </w:rPr>
      </w:pPr>
      <w:r>
        <w:rPr>
          <w:b/>
          <w:bCs/>
          <w:color w:val="000000"/>
        </w:rPr>
        <w:t>Investor Relations Contact:</w:t>
      </w:r>
      <w:r>
        <w:rPr>
          <w:color w:val="000000"/>
        </w:rPr>
        <w:br/>
        <w:t>Kin Communications Inc.</w:t>
      </w:r>
      <w:r>
        <w:rPr>
          <w:color w:val="000000"/>
        </w:rPr>
        <w:br/>
        <w:t>Tel: (604) 684-6730</w:t>
      </w:r>
      <w:r>
        <w:rPr>
          <w:color w:val="000000"/>
        </w:rPr>
        <w:br/>
        <w:t>Email: SGN@kincommunications.com</w:t>
      </w:r>
    </w:p>
    <w:p w14:paraId="73D7CA40" w14:textId="2EA0385D" w:rsidR="003F65E6" w:rsidRDefault="003F65E6" w:rsidP="004B68D2">
      <w:pPr>
        <w:adjustRightInd w:val="0"/>
        <w:spacing w:line="240" w:lineRule="auto"/>
        <w:ind w:left="-709"/>
        <w:contextualSpacing/>
        <w:rPr>
          <w:rFonts w:ascii="Arial-BoldMT" w:hAnsi="Arial-BoldMT" w:cs="Arial-BoldMT"/>
          <w:b/>
          <w:bCs/>
        </w:rPr>
      </w:pPr>
      <w:r w:rsidRPr="002C33D8">
        <w:rPr>
          <w:rFonts w:ascii="Arial-BoldMT" w:hAnsi="Arial-BoldMT" w:cs="Arial-BoldMT"/>
          <w:b/>
          <w:bCs/>
        </w:rPr>
        <w:t xml:space="preserve">Connect with </w:t>
      </w:r>
      <w:r>
        <w:rPr>
          <w:rFonts w:ascii="Arial-BoldMT" w:hAnsi="Arial-BoldMT" w:cs="Arial-BoldMT"/>
          <w:b/>
          <w:bCs/>
        </w:rPr>
        <w:t>Scorpio Gold</w:t>
      </w:r>
      <w:r w:rsidR="00441B79">
        <w:rPr>
          <w:rFonts w:ascii="Arial-BoldMT" w:hAnsi="Arial-BoldMT" w:cs="Arial-BoldMT"/>
          <w:b/>
          <w:bCs/>
        </w:rPr>
        <w:t>:</w:t>
      </w:r>
    </w:p>
    <w:p w14:paraId="7D58A1E7" w14:textId="2EFE9AAF" w:rsidR="00DE71BC" w:rsidRPr="00DE71BC" w:rsidRDefault="00DE71BC" w:rsidP="004B68D2">
      <w:pPr>
        <w:pBdr>
          <w:top w:val="nil"/>
          <w:left w:val="nil"/>
          <w:bottom w:val="nil"/>
          <w:right w:val="nil"/>
          <w:between w:val="nil"/>
        </w:pBdr>
        <w:shd w:val="clear" w:color="auto" w:fill="FFFFFF"/>
        <w:spacing w:line="240" w:lineRule="auto"/>
        <w:ind w:left="-709"/>
        <w:contextualSpacing/>
        <w:rPr>
          <w:color w:val="000000"/>
        </w:rPr>
      </w:pPr>
      <w:hyperlink r:id="rId14" w:history="1">
        <w:r w:rsidRPr="00DE71BC">
          <w:rPr>
            <w:rStyle w:val="Hyperlink"/>
          </w:rPr>
          <w:t>Email</w:t>
        </w:r>
      </w:hyperlink>
      <w:r>
        <w:rPr>
          <w:color w:val="000000"/>
        </w:rPr>
        <w:t xml:space="preserve"> | </w:t>
      </w:r>
      <w:hyperlink r:id="rId15" w:history="1">
        <w:r w:rsidRPr="00AA385B">
          <w:rPr>
            <w:rStyle w:val="Hyperlink"/>
          </w:rPr>
          <w:t>Website</w:t>
        </w:r>
      </w:hyperlink>
      <w:r>
        <w:rPr>
          <w:color w:val="000000"/>
        </w:rPr>
        <w:t xml:space="preserve"> | </w:t>
      </w:r>
      <w:hyperlink r:id="rId16" w:history="1">
        <w:r w:rsidRPr="00DE71BC">
          <w:rPr>
            <w:rStyle w:val="Hyperlink"/>
          </w:rPr>
          <w:t>Facebook</w:t>
        </w:r>
      </w:hyperlink>
      <w:r>
        <w:rPr>
          <w:color w:val="000000"/>
        </w:rPr>
        <w:t xml:space="preserve"> | </w:t>
      </w:r>
      <w:hyperlink r:id="rId17" w:history="1">
        <w:r w:rsidRPr="00DE71BC">
          <w:rPr>
            <w:rStyle w:val="Hyperlink"/>
          </w:rPr>
          <w:t>LinkedIn</w:t>
        </w:r>
      </w:hyperlink>
      <w:r>
        <w:rPr>
          <w:color w:val="000000"/>
        </w:rPr>
        <w:t xml:space="preserve"> | </w:t>
      </w:r>
      <w:hyperlink r:id="rId18" w:history="1">
        <w:r w:rsidRPr="00DE71BC">
          <w:rPr>
            <w:rStyle w:val="Hyperlink"/>
          </w:rPr>
          <w:t>X</w:t>
        </w:r>
      </w:hyperlink>
      <w:r>
        <w:rPr>
          <w:color w:val="000000"/>
        </w:rPr>
        <w:t xml:space="preserve"> | </w:t>
      </w:r>
      <w:hyperlink r:id="rId19" w:history="1">
        <w:r w:rsidRPr="00DE71BC">
          <w:rPr>
            <w:rStyle w:val="Hyperlink"/>
          </w:rPr>
          <w:t>YouTube</w:t>
        </w:r>
      </w:hyperlink>
    </w:p>
    <w:p w14:paraId="4746E925" w14:textId="1318D75C" w:rsidR="003F65E6" w:rsidRDefault="003F65E6" w:rsidP="004B68D2">
      <w:pPr>
        <w:pStyle w:val="BodyText"/>
        <w:ind w:left="-709"/>
        <w:jc w:val="both"/>
        <w:rPr>
          <w:rStyle w:val="Hyperlink"/>
          <w:rFonts w:ascii="ArialMT" w:eastAsiaTheme="minorHAnsi" w:hAnsi="ArialMT" w:cs="ArialMT"/>
          <w:sz w:val="22"/>
          <w:szCs w:val="22"/>
          <w:lang w:val="en-CA"/>
        </w:rPr>
      </w:pPr>
      <w:r w:rsidRPr="0063069D">
        <w:rPr>
          <w:rFonts w:ascii="ArialMT" w:eastAsiaTheme="minorHAnsi" w:hAnsi="ArialMT" w:cs="ArialMT"/>
          <w:sz w:val="22"/>
          <w:szCs w:val="22"/>
          <w:lang w:val="en-CA"/>
        </w:rPr>
        <w:t xml:space="preserve">To register for investor updates please </w:t>
      </w:r>
      <w:r w:rsidRPr="002C33D8">
        <w:rPr>
          <w:rFonts w:ascii="ArialMT" w:eastAsiaTheme="minorHAnsi" w:hAnsi="ArialMT" w:cs="ArialMT"/>
          <w:sz w:val="22"/>
          <w:szCs w:val="22"/>
          <w:lang w:val="en-CA"/>
        </w:rPr>
        <w:t>visit</w:t>
      </w:r>
      <w:r w:rsidR="00DE71BC">
        <w:rPr>
          <w:rFonts w:ascii="ArialMT" w:eastAsiaTheme="minorHAnsi" w:hAnsi="ArialMT" w:cs="ArialMT"/>
          <w:sz w:val="22"/>
          <w:szCs w:val="22"/>
          <w:lang w:val="en-CA"/>
        </w:rPr>
        <w:t>:</w:t>
      </w:r>
      <w:r w:rsidRPr="002C33D8">
        <w:rPr>
          <w:rFonts w:ascii="ArialMT" w:eastAsiaTheme="minorHAnsi" w:hAnsi="ArialMT" w:cs="ArialMT"/>
          <w:sz w:val="22"/>
          <w:szCs w:val="22"/>
          <w:lang w:val="en-CA"/>
        </w:rPr>
        <w:t xml:space="preserve"> </w:t>
      </w:r>
      <w:hyperlink r:id="rId20" w:history="1">
        <w:r w:rsidR="00DE71BC" w:rsidRPr="00DE71BC">
          <w:rPr>
            <w:rStyle w:val="Hyperlink"/>
            <w:rFonts w:ascii="ArialMT" w:eastAsiaTheme="minorHAnsi" w:hAnsi="ArialMT" w:cs="ArialMT"/>
            <w:sz w:val="22"/>
            <w:szCs w:val="22"/>
            <w:lang w:val="en-CA"/>
          </w:rPr>
          <w:t>scorpiogold.com</w:t>
        </w:r>
      </w:hyperlink>
    </w:p>
    <w:p w14:paraId="04E7D032" w14:textId="632B502E" w:rsidR="004B68D2" w:rsidRPr="004B68D2" w:rsidRDefault="004B68D2" w:rsidP="004B68D2">
      <w:pPr>
        <w:pStyle w:val="BodyText"/>
        <w:ind w:left="-709"/>
        <w:jc w:val="both"/>
        <w:rPr>
          <w:rStyle w:val="Hyperlink"/>
          <w:rFonts w:ascii="ArialMT" w:eastAsiaTheme="minorHAnsi" w:hAnsi="ArialMT" w:cs="ArialMT"/>
          <w:b/>
          <w:bCs/>
          <w:sz w:val="22"/>
          <w:szCs w:val="22"/>
          <w:lang w:val="en-CA" w:eastAsia="en-CA"/>
        </w:rPr>
      </w:pPr>
      <w:r>
        <w:rPr>
          <w:rFonts w:ascii="ArialMT" w:eastAsiaTheme="minorHAnsi" w:hAnsi="ArialMT" w:cs="ArialMT"/>
          <w:sz w:val="22"/>
          <w:szCs w:val="22"/>
          <w:lang w:val="en-CA"/>
        </w:rPr>
        <w:t xml:space="preserve">TSXV: </w:t>
      </w:r>
      <w:r w:rsidRPr="004B68D2">
        <w:rPr>
          <w:rFonts w:ascii="ArialMT" w:eastAsiaTheme="minorHAnsi" w:hAnsi="ArialMT" w:cs="ArialMT"/>
          <w:b/>
          <w:bCs/>
          <w:sz w:val="22"/>
          <w:szCs w:val="22"/>
          <w:lang w:val="en-CA"/>
        </w:rPr>
        <w:t xml:space="preserve">SGN </w:t>
      </w:r>
      <w:r>
        <w:rPr>
          <w:rFonts w:ascii="ArialMT" w:eastAsiaTheme="minorHAnsi" w:hAnsi="ArialMT" w:cs="ArialMT"/>
          <w:sz w:val="22"/>
          <w:szCs w:val="22"/>
          <w:lang w:val="en-CA"/>
        </w:rPr>
        <w:t xml:space="preserve">| OTC: </w:t>
      </w:r>
      <w:r w:rsidRPr="004B68D2">
        <w:rPr>
          <w:rFonts w:ascii="ArialMT" w:eastAsiaTheme="minorHAnsi" w:hAnsi="ArialMT" w:cs="ArialMT"/>
          <w:b/>
          <w:bCs/>
          <w:sz w:val="22"/>
          <w:szCs w:val="22"/>
          <w:lang w:val="en-CA"/>
        </w:rPr>
        <w:t>SRCRF</w:t>
      </w:r>
      <w:r>
        <w:rPr>
          <w:rFonts w:ascii="ArialMT" w:eastAsiaTheme="minorHAnsi" w:hAnsi="ArialMT" w:cs="ArialMT"/>
          <w:sz w:val="22"/>
          <w:szCs w:val="22"/>
          <w:lang w:val="en-CA"/>
        </w:rPr>
        <w:t xml:space="preserve"> | FSE: </w:t>
      </w:r>
      <w:r w:rsidRPr="004B68D2">
        <w:rPr>
          <w:rFonts w:ascii="ArialMT" w:eastAsiaTheme="minorHAnsi" w:hAnsi="ArialMT" w:cs="ArialMT"/>
          <w:b/>
          <w:bCs/>
          <w:sz w:val="22"/>
          <w:szCs w:val="22"/>
          <w:lang w:val="en-CA"/>
        </w:rPr>
        <w:t>RY9</w:t>
      </w:r>
    </w:p>
    <w:p w14:paraId="4F276C63" w14:textId="03640839" w:rsidR="00325581" w:rsidRPr="00FE04B6" w:rsidRDefault="004E3855" w:rsidP="00C14195">
      <w:pPr>
        <w:keepNext/>
        <w:keepLines/>
        <w:pBdr>
          <w:top w:val="nil"/>
          <w:left w:val="nil"/>
          <w:bottom w:val="nil"/>
          <w:right w:val="nil"/>
          <w:between w:val="nil"/>
        </w:pBdr>
        <w:shd w:val="clear" w:color="auto" w:fill="FFFFFF"/>
        <w:spacing w:before="300" w:after="240" w:line="240" w:lineRule="auto"/>
        <w:ind w:left="-706"/>
        <w:jc w:val="both"/>
        <w:rPr>
          <w:b/>
          <w:bCs/>
          <w:color w:val="000000"/>
        </w:rPr>
      </w:pPr>
      <w:r w:rsidRPr="00FE04B6">
        <w:rPr>
          <w:b/>
          <w:bCs/>
          <w:i/>
          <w:color w:val="000000"/>
        </w:rPr>
        <w:t>Forward-Looking Statements</w:t>
      </w:r>
    </w:p>
    <w:p w14:paraId="7B1EF079" w14:textId="77777777" w:rsidR="009C52C2" w:rsidRPr="004E351A" w:rsidRDefault="009C52C2" w:rsidP="00C14195">
      <w:pPr>
        <w:keepNext/>
        <w:keepLines/>
        <w:pBdr>
          <w:top w:val="nil"/>
          <w:left w:val="nil"/>
          <w:bottom w:val="nil"/>
          <w:right w:val="nil"/>
          <w:between w:val="nil"/>
        </w:pBdr>
        <w:shd w:val="clear" w:color="auto" w:fill="FFFFFF"/>
        <w:spacing w:before="300" w:after="240" w:line="240" w:lineRule="auto"/>
        <w:ind w:left="-706"/>
        <w:jc w:val="both"/>
        <w:rPr>
          <w:i/>
          <w:color w:val="000000"/>
        </w:rPr>
      </w:pPr>
      <w:r w:rsidRPr="004E351A">
        <w:rPr>
          <w:i/>
          <w:color w:val="000000"/>
        </w:rPr>
        <w:t>This news release contains statements that constitute “forward-looking statements.” Such forward looking statements involve known and unknown risks, uncertainties and other factors that may cause the Company’s actual results, performance or achievements, or developments to differ materially from the anticipated results, performance or achievements expressed or implied by such forward-looking statements.  Forward looking statements are statements that are not historical facts and are generally, but not always, identified by the words “expects,” “plans,” “anticipates,” “believes,” “intends,” “estimates,” “projects,” “potential” and similar expressions, or that events or conditions “will,” “would,” “may,” “could” or “should” occur.</w:t>
      </w:r>
    </w:p>
    <w:p w14:paraId="6CFC4DB2" w14:textId="7E560847" w:rsidR="009C52C2" w:rsidRPr="004E351A" w:rsidRDefault="009C52C2" w:rsidP="009C52C2">
      <w:pPr>
        <w:pBdr>
          <w:top w:val="nil"/>
          <w:left w:val="nil"/>
          <w:bottom w:val="nil"/>
          <w:right w:val="nil"/>
          <w:between w:val="nil"/>
        </w:pBdr>
        <w:shd w:val="clear" w:color="auto" w:fill="FFFFFF"/>
        <w:spacing w:before="300" w:after="240" w:line="240" w:lineRule="auto"/>
        <w:ind w:left="-709"/>
        <w:jc w:val="both"/>
        <w:rPr>
          <w:i/>
          <w:color w:val="000000"/>
        </w:rPr>
      </w:pPr>
      <w:r w:rsidRPr="00756D8F">
        <w:rPr>
          <w:i/>
          <w:color w:val="000000"/>
        </w:rPr>
        <w:t>Forward-looking statements in this news release include, among others, statements relating</w:t>
      </w:r>
      <w:r w:rsidR="00092769" w:rsidRPr="00756D8F">
        <w:rPr>
          <w:i/>
          <w:color w:val="000000"/>
        </w:rPr>
        <w:t xml:space="preserve"> to</w:t>
      </w:r>
      <w:r w:rsidRPr="00756D8F">
        <w:rPr>
          <w:i/>
          <w:color w:val="000000"/>
        </w:rPr>
        <w:t xml:space="preserve"> the timing, scope and interpretation of assay results; </w:t>
      </w:r>
      <w:r w:rsidR="00756D8F">
        <w:rPr>
          <w:i/>
          <w:color w:val="000000"/>
        </w:rPr>
        <w:t>potential for resource growth</w:t>
      </w:r>
      <w:r w:rsidRPr="00756D8F">
        <w:rPr>
          <w:i/>
          <w:color w:val="000000"/>
        </w:rPr>
        <w:t>; the potential continuity, extent and characteristics of mineralization along the Reliance Trend, Gap Zone, Zanzibar Trend and Mustang Hill; the intended follow-up exploration activities and timing of future disclosures, and other statements that are not historical facts. By their nature, forward-looking statements involve known and unknown risks, uncertainties and other factors which may cause our actual results, performance or achievements, or other future events, to be materially different from any future results, performance or achievements expressed or implied by such forward-looking statements. Such factors and risks include, among others: the Company may require additional financing from time to time in order to continue its operations which may not be available when needed or on acceptable terms and conditions acceptable; compliance with extensive government regulation; domestic and foreign laws and regulations could adversely affect the Company’s business and results of operations; the stock markets have experienced volatility that often has been unrelated to the performance of companies and these fluctuations may adversely affect the price of the Company’s securities, regardless of its operating performance.</w:t>
      </w:r>
    </w:p>
    <w:p w14:paraId="5B450561" w14:textId="63B09B82" w:rsidR="00441B79" w:rsidRDefault="009C52C2" w:rsidP="009C52C2">
      <w:pPr>
        <w:pBdr>
          <w:top w:val="nil"/>
          <w:left w:val="nil"/>
          <w:bottom w:val="nil"/>
          <w:right w:val="nil"/>
          <w:between w:val="nil"/>
        </w:pBdr>
        <w:shd w:val="clear" w:color="auto" w:fill="FFFFFF"/>
        <w:spacing w:before="300" w:after="240" w:line="240" w:lineRule="auto"/>
        <w:ind w:left="-709"/>
        <w:jc w:val="both"/>
        <w:rPr>
          <w:color w:val="000000"/>
        </w:rPr>
      </w:pPr>
      <w:r w:rsidRPr="004E351A">
        <w:rPr>
          <w:i/>
          <w:color w:val="000000"/>
        </w:rPr>
        <w:t>The forward-looking information contained in this news release represents the expectations of the Company as of the date of this news release and, accordingly, is subject to change after such date. Readers should not place undue importance on forward-looking information and should not rely upon this information as of any other date. The Company undertakes no obligation to update these forward-</w:t>
      </w:r>
      <w:r w:rsidRPr="004E351A">
        <w:rPr>
          <w:i/>
          <w:color w:val="000000"/>
        </w:rPr>
        <w:lastRenderedPageBreak/>
        <w:t xml:space="preserve">looking statements </w:t>
      </w:r>
      <w:proofErr w:type="gramStart"/>
      <w:r w:rsidRPr="004E351A">
        <w:rPr>
          <w:i/>
          <w:color w:val="000000"/>
        </w:rPr>
        <w:t>in the event that</w:t>
      </w:r>
      <w:proofErr w:type="gramEnd"/>
      <w:r w:rsidRPr="004E351A">
        <w:rPr>
          <w:i/>
          <w:color w:val="000000"/>
        </w:rPr>
        <w:t xml:space="preserve"> management's beliefs, estimates or opinions, or other factors, should change</w:t>
      </w:r>
      <w:r>
        <w:rPr>
          <w:i/>
          <w:color w:val="000000"/>
        </w:rPr>
        <w:t>.</w:t>
      </w:r>
    </w:p>
    <w:p w14:paraId="5216D5CD" w14:textId="77777777" w:rsidR="00441B79" w:rsidRDefault="00441B79" w:rsidP="00FE04B6">
      <w:pPr>
        <w:pBdr>
          <w:top w:val="nil"/>
          <w:left w:val="nil"/>
          <w:bottom w:val="nil"/>
          <w:right w:val="nil"/>
          <w:between w:val="nil"/>
        </w:pBdr>
        <w:shd w:val="clear" w:color="auto" w:fill="FFFFFF"/>
        <w:spacing w:before="300" w:after="240" w:line="240" w:lineRule="auto"/>
        <w:ind w:left="-709"/>
        <w:jc w:val="both"/>
        <w:rPr>
          <w:color w:val="000000"/>
        </w:rPr>
      </w:pPr>
    </w:p>
    <w:sectPr w:rsidR="00441B79" w:rsidSect="00DB7126">
      <w:headerReference w:type="default" r:id="rId21"/>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FE6F" w14:textId="77777777" w:rsidR="00184ECD" w:rsidRDefault="00184ECD">
      <w:pPr>
        <w:spacing w:line="240" w:lineRule="auto"/>
      </w:pPr>
      <w:r>
        <w:separator/>
      </w:r>
    </w:p>
  </w:endnote>
  <w:endnote w:type="continuationSeparator" w:id="0">
    <w:p w14:paraId="26E26F81" w14:textId="77777777" w:rsidR="00184ECD" w:rsidRDefault="00184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Arial-BoldMT">
    <w:altName w:val="Arial"/>
    <w:charset w:val="00"/>
    <w:family w:val="auto"/>
    <w:pitch w:val="default"/>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F96B0" w14:textId="77777777" w:rsidR="00184ECD" w:rsidRDefault="00184ECD">
      <w:pPr>
        <w:spacing w:line="240" w:lineRule="auto"/>
      </w:pPr>
      <w:r>
        <w:separator/>
      </w:r>
    </w:p>
  </w:footnote>
  <w:footnote w:type="continuationSeparator" w:id="0">
    <w:p w14:paraId="4841296C" w14:textId="77777777" w:rsidR="00184ECD" w:rsidRDefault="00184E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13AD" w14:textId="77777777" w:rsidR="00B97FB1" w:rsidRPr="00FE3D23" w:rsidRDefault="00B97FB1" w:rsidP="00FE3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E6314"/>
    <w:multiLevelType w:val="hybridMultilevel"/>
    <w:tmpl w:val="844004EA"/>
    <w:lvl w:ilvl="0" w:tplc="92B21E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55625"/>
    <w:multiLevelType w:val="hybridMultilevel"/>
    <w:tmpl w:val="CD8C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31989"/>
    <w:multiLevelType w:val="multilevel"/>
    <w:tmpl w:val="8B2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5383C"/>
    <w:multiLevelType w:val="hybridMultilevel"/>
    <w:tmpl w:val="3BD835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DB44488"/>
    <w:multiLevelType w:val="hybridMultilevel"/>
    <w:tmpl w:val="2E6AED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4C51C1"/>
    <w:multiLevelType w:val="hybridMultilevel"/>
    <w:tmpl w:val="2128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6A049F"/>
    <w:multiLevelType w:val="hybridMultilevel"/>
    <w:tmpl w:val="0CEAC462"/>
    <w:lvl w:ilvl="0" w:tplc="95661962">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6D1457E"/>
    <w:multiLevelType w:val="hybridMultilevel"/>
    <w:tmpl w:val="89063F22"/>
    <w:lvl w:ilvl="0" w:tplc="9314F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41455"/>
    <w:multiLevelType w:val="hybridMultilevel"/>
    <w:tmpl w:val="7BF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3E2C14"/>
    <w:multiLevelType w:val="hybridMultilevel"/>
    <w:tmpl w:val="4D16CC36"/>
    <w:lvl w:ilvl="0" w:tplc="3234712E">
      <w:start w:val="2"/>
      <w:numFmt w:val="bullet"/>
      <w:lvlText w:val="-"/>
      <w:lvlJc w:val="left"/>
      <w:pPr>
        <w:ind w:left="720" w:hanging="360"/>
      </w:pPr>
      <w:rPr>
        <w:rFonts w:ascii="Arial" w:eastAsia="Arial"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A380E9B"/>
    <w:multiLevelType w:val="hybridMultilevel"/>
    <w:tmpl w:val="E7BA5BA8"/>
    <w:lvl w:ilvl="0" w:tplc="D67E1FB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27F17"/>
    <w:multiLevelType w:val="hybridMultilevel"/>
    <w:tmpl w:val="E318C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54165504">
    <w:abstractNumId w:val="3"/>
  </w:num>
  <w:num w:numId="2" w16cid:durableId="1987127254">
    <w:abstractNumId w:val="11"/>
  </w:num>
  <w:num w:numId="3" w16cid:durableId="643435558">
    <w:abstractNumId w:val="6"/>
  </w:num>
  <w:num w:numId="4" w16cid:durableId="377515495">
    <w:abstractNumId w:val="1"/>
  </w:num>
  <w:num w:numId="5" w16cid:durableId="1786382455">
    <w:abstractNumId w:val="8"/>
  </w:num>
  <w:num w:numId="6" w16cid:durableId="1633824157">
    <w:abstractNumId w:val="9"/>
  </w:num>
  <w:num w:numId="7" w16cid:durableId="1968731488">
    <w:abstractNumId w:val="5"/>
  </w:num>
  <w:num w:numId="8" w16cid:durableId="1409376958">
    <w:abstractNumId w:val="10"/>
  </w:num>
  <w:num w:numId="9" w16cid:durableId="124393222">
    <w:abstractNumId w:val="2"/>
  </w:num>
  <w:num w:numId="10" w16cid:durableId="8458202">
    <w:abstractNumId w:val="0"/>
  </w:num>
  <w:num w:numId="11" w16cid:durableId="1416636012">
    <w:abstractNumId w:val="4"/>
  </w:num>
  <w:num w:numId="12" w16cid:durableId="10578267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581"/>
    <w:rsid w:val="000026F1"/>
    <w:rsid w:val="000052D8"/>
    <w:rsid w:val="00005425"/>
    <w:rsid w:val="00013D1F"/>
    <w:rsid w:val="000234E4"/>
    <w:rsid w:val="0002663B"/>
    <w:rsid w:val="00027EB9"/>
    <w:rsid w:val="00045F75"/>
    <w:rsid w:val="0005043E"/>
    <w:rsid w:val="00050B13"/>
    <w:rsid w:val="0005435D"/>
    <w:rsid w:val="00061C09"/>
    <w:rsid w:val="00065503"/>
    <w:rsid w:val="000735C2"/>
    <w:rsid w:val="00076DD5"/>
    <w:rsid w:val="0008018D"/>
    <w:rsid w:val="00081222"/>
    <w:rsid w:val="00081CFD"/>
    <w:rsid w:val="00092769"/>
    <w:rsid w:val="000A708A"/>
    <w:rsid w:val="000B2859"/>
    <w:rsid w:val="000B2EE9"/>
    <w:rsid w:val="000C131D"/>
    <w:rsid w:val="000C1B1B"/>
    <w:rsid w:val="000C4C9C"/>
    <w:rsid w:val="000D2EF5"/>
    <w:rsid w:val="000D59E2"/>
    <w:rsid w:val="000E4E71"/>
    <w:rsid w:val="000F042A"/>
    <w:rsid w:val="000F2F84"/>
    <w:rsid w:val="00102060"/>
    <w:rsid w:val="001020D4"/>
    <w:rsid w:val="001050B2"/>
    <w:rsid w:val="00107C3A"/>
    <w:rsid w:val="0011068A"/>
    <w:rsid w:val="001264B1"/>
    <w:rsid w:val="00126BFA"/>
    <w:rsid w:val="0013427F"/>
    <w:rsid w:val="00143E4C"/>
    <w:rsid w:val="00146F3A"/>
    <w:rsid w:val="0014772A"/>
    <w:rsid w:val="001535B4"/>
    <w:rsid w:val="00156094"/>
    <w:rsid w:val="00171E04"/>
    <w:rsid w:val="00175D3E"/>
    <w:rsid w:val="00176095"/>
    <w:rsid w:val="00184ECD"/>
    <w:rsid w:val="00185988"/>
    <w:rsid w:val="001930C7"/>
    <w:rsid w:val="00194662"/>
    <w:rsid w:val="001A433C"/>
    <w:rsid w:val="001A5D44"/>
    <w:rsid w:val="001B2274"/>
    <w:rsid w:val="001B306D"/>
    <w:rsid w:val="001B4BB8"/>
    <w:rsid w:val="001B5205"/>
    <w:rsid w:val="001B66F5"/>
    <w:rsid w:val="001C0041"/>
    <w:rsid w:val="001C2C1C"/>
    <w:rsid w:val="001C4C1E"/>
    <w:rsid w:val="001C4EAA"/>
    <w:rsid w:val="001D2C5D"/>
    <w:rsid w:val="001E045A"/>
    <w:rsid w:val="001E6C9F"/>
    <w:rsid w:val="001F1CFC"/>
    <w:rsid w:val="001F32D1"/>
    <w:rsid w:val="001F3FA8"/>
    <w:rsid w:val="00200E5A"/>
    <w:rsid w:val="002037CF"/>
    <w:rsid w:val="002062F1"/>
    <w:rsid w:val="0020696B"/>
    <w:rsid w:val="00216D28"/>
    <w:rsid w:val="00226EEE"/>
    <w:rsid w:val="00232F26"/>
    <w:rsid w:val="00243466"/>
    <w:rsid w:val="00250AD5"/>
    <w:rsid w:val="00255CAD"/>
    <w:rsid w:val="00255D83"/>
    <w:rsid w:val="00257FD0"/>
    <w:rsid w:val="002833F3"/>
    <w:rsid w:val="00284023"/>
    <w:rsid w:val="00285679"/>
    <w:rsid w:val="002A1081"/>
    <w:rsid w:val="002A2AE1"/>
    <w:rsid w:val="002A7D2A"/>
    <w:rsid w:val="002B62BE"/>
    <w:rsid w:val="002B69A2"/>
    <w:rsid w:val="002E2C65"/>
    <w:rsid w:val="002E6750"/>
    <w:rsid w:val="002F1E2A"/>
    <w:rsid w:val="002F453B"/>
    <w:rsid w:val="002F61CF"/>
    <w:rsid w:val="00305573"/>
    <w:rsid w:val="00306D08"/>
    <w:rsid w:val="00312DA0"/>
    <w:rsid w:val="003160D6"/>
    <w:rsid w:val="0032256B"/>
    <w:rsid w:val="00325581"/>
    <w:rsid w:val="00326B4A"/>
    <w:rsid w:val="003305A4"/>
    <w:rsid w:val="00334221"/>
    <w:rsid w:val="0033642F"/>
    <w:rsid w:val="00336F0F"/>
    <w:rsid w:val="00353DC5"/>
    <w:rsid w:val="003573A3"/>
    <w:rsid w:val="00364395"/>
    <w:rsid w:val="003854FB"/>
    <w:rsid w:val="00393A5E"/>
    <w:rsid w:val="003A1C86"/>
    <w:rsid w:val="003A2B44"/>
    <w:rsid w:val="003A56A3"/>
    <w:rsid w:val="003B2729"/>
    <w:rsid w:val="003B5F1E"/>
    <w:rsid w:val="003C03C5"/>
    <w:rsid w:val="003C2274"/>
    <w:rsid w:val="003D62B6"/>
    <w:rsid w:val="003D6532"/>
    <w:rsid w:val="003E65FB"/>
    <w:rsid w:val="003F416D"/>
    <w:rsid w:val="003F65E6"/>
    <w:rsid w:val="004038AE"/>
    <w:rsid w:val="00407CFA"/>
    <w:rsid w:val="004114CE"/>
    <w:rsid w:val="00411785"/>
    <w:rsid w:val="00412789"/>
    <w:rsid w:val="00421710"/>
    <w:rsid w:val="004319C7"/>
    <w:rsid w:val="00432791"/>
    <w:rsid w:val="004336ED"/>
    <w:rsid w:val="00441B79"/>
    <w:rsid w:val="00443D64"/>
    <w:rsid w:val="00445F13"/>
    <w:rsid w:val="00455D61"/>
    <w:rsid w:val="00457E85"/>
    <w:rsid w:val="00464256"/>
    <w:rsid w:val="00470941"/>
    <w:rsid w:val="00474BC3"/>
    <w:rsid w:val="0048197D"/>
    <w:rsid w:val="0048442F"/>
    <w:rsid w:val="004877BE"/>
    <w:rsid w:val="00494473"/>
    <w:rsid w:val="00494D03"/>
    <w:rsid w:val="004A1B6C"/>
    <w:rsid w:val="004A2261"/>
    <w:rsid w:val="004A2B59"/>
    <w:rsid w:val="004A595B"/>
    <w:rsid w:val="004B68D2"/>
    <w:rsid w:val="004C0166"/>
    <w:rsid w:val="004C6D0A"/>
    <w:rsid w:val="004D31B0"/>
    <w:rsid w:val="004D408E"/>
    <w:rsid w:val="004E3855"/>
    <w:rsid w:val="004E5C43"/>
    <w:rsid w:val="004F7C40"/>
    <w:rsid w:val="004F7F76"/>
    <w:rsid w:val="005012E6"/>
    <w:rsid w:val="00506C33"/>
    <w:rsid w:val="00506C98"/>
    <w:rsid w:val="0051247F"/>
    <w:rsid w:val="00523311"/>
    <w:rsid w:val="00533575"/>
    <w:rsid w:val="0054166F"/>
    <w:rsid w:val="00544EA2"/>
    <w:rsid w:val="00546496"/>
    <w:rsid w:val="00547AAE"/>
    <w:rsid w:val="00547C8D"/>
    <w:rsid w:val="00551D9F"/>
    <w:rsid w:val="0055733B"/>
    <w:rsid w:val="0056707C"/>
    <w:rsid w:val="005676BE"/>
    <w:rsid w:val="00567CFA"/>
    <w:rsid w:val="005752BB"/>
    <w:rsid w:val="0057620A"/>
    <w:rsid w:val="00576CEF"/>
    <w:rsid w:val="00586193"/>
    <w:rsid w:val="005868DB"/>
    <w:rsid w:val="00593569"/>
    <w:rsid w:val="00593BF6"/>
    <w:rsid w:val="005964A3"/>
    <w:rsid w:val="005968F7"/>
    <w:rsid w:val="00596915"/>
    <w:rsid w:val="005969D0"/>
    <w:rsid w:val="005A342B"/>
    <w:rsid w:val="005A62E0"/>
    <w:rsid w:val="005A661B"/>
    <w:rsid w:val="005A742E"/>
    <w:rsid w:val="005C24AC"/>
    <w:rsid w:val="005C5524"/>
    <w:rsid w:val="005D3875"/>
    <w:rsid w:val="005D3E61"/>
    <w:rsid w:val="005E2B16"/>
    <w:rsid w:val="005F159A"/>
    <w:rsid w:val="005F54F7"/>
    <w:rsid w:val="005F6A29"/>
    <w:rsid w:val="005F7CAB"/>
    <w:rsid w:val="005F7F60"/>
    <w:rsid w:val="006007A0"/>
    <w:rsid w:val="00601A9E"/>
    <w:rsid w:val="00601AB8"/>
    <w:rsid w:val="00602F03"/>
    <w:rsid w:val="0060741E"/>
    <w:rsid w:val="006201CE"/>
    <w:rsid w:val="00621167"/>
    <w:rsid w:val="006231FA"/>
    <w:rsid w:val="00625D9D"/>
    <w:rsid w:val="006301B4"/>
    <w:rsid w:val="00656205"/>
    <w:rsid w:val="00661FFB"/>
    <w:rsid w:val="006633CF"/>
    <w:rsid w:val="00666681"/>
    <w:rsid w:val="00676862"/>
    <w:rsid w:val="00676A6B"/>
    <w:rsid w:val="006801B4"/>
    <w:rsid w:val="00684B13"/>
    <w:rsid w:val="00686EE6"/>
    <w:rsid w:val="00687F67"/>
    <w:rsid w:val="00690134"/>
    <w:rsid w:val="0069411B"/>
    <w:rsid w:val="006A4B0F"/>
    <w:rsid w:val="006B1CCE"/>
    <w:rsid w:val="006B54E4"/>
    <w:rsid w:val="006B62BF"/>
    <w:rsid w:val="006B6D7C"/>
    <w:rsid w:val="006B76C9"/>
    <w:rsid w:val="006D57D3"/>
    <w:rsid w:val="006D6313"/>
    <w:rsid w:val="006D7026"/>
    <w:rsid w:val="006E321C"/>
    <w:rsid w:val="0070070D"/>
    <w:rsid w:val="00701104"/>
    <w:rsid w:val="00701B95"/>
    <w:rsid w:val="0070374D"/>
    <w:rsid w:val="00711DC1"/>
    <w:rsid w:val="00724AD0"/>
    <w:rsid w:val="007349CF"/>
    <w:rsid w:val="00745A0B"/>
    <w:rsid w:val="00755767"/>
    <w:rsid w:val="00756D8F"/>
    <w:rsid w:val="00760FB8"/>
    <w:rsid w:val="00773C7E"/>
    <w:rsid w:val="0079152A"/>
    <w:rsid w:val="00796585"/>
    <w:rsid w:val="007A0184"/>
    <w:rsid w:val="007A3AF5"/>
    <w:rsid w:val="007A5302"/>
    <w:rsid w:val="007A733E"/>
    <w:rsid w:val="007B16CB"/>
    <w:rsid w:val="007B411F"/>
    <w:rsid w:val="007B7F30"/>
    <w:rsid w:val="007C58D0"/>
    <w:rsid w:val="007C7F96"/>
    <w:rsid w:val="007D2BC1"/>
    <w:rsid w:val="007E23B9"/>
    <w:rsid w:val="007E53FB"/>
    <w:rsid w:val="007E68CE"/>
    <w:rsid w:val="00806503"/>
    <w:rsid w:val="00810E4C"/>
    <w:rsid w:val="00811924"/>
    <w:rsid w:val="008135C6"/>
    <w:rsid w:val="00820609"/>
    <w:rsid w:val="008226B6"/>
    <w:rsid w:val="008422EA"/>
    <w:rsid w:val="0084389D"/>
    <w:rsid w:val="00843A91"/>
    <w:rsid w:val="00846249"/>
    <w:rsid w:val="008517CF"/>
    <w:rsid w:val="00854EF0"/>
    <w:rsid w:val="008555E3"/>
    <w:rsid w:val="00863F8B"/>
    <w:rsid w:val="00865013"/>
    <w:rsid w:val="00871CD4"/>
    <w:rsid w:val="00887FD6"/>
    <w:rsid w:val="00892553"/>
    <w:rsid w:val="00894F31"/>
    <w:rsid w:val="008A4FCF"/>
    <w:rsid w:val="008B0A62"/>
    <w:rsid w:val="008C0B92"/>
    <w:rsid w:val="008C1EC8"/>
    <w:rsid w:val="008C7917"/>
    <w:rsid w:val="008E48BD"/>
    <w:rsid w:val="008E48D5"/>
    <w:rsid w:val="008F348D"/>
    <w:rsid w:val="008F527C"/>
    <w:rsid w:val="009054EE"/>
    <w:rsid w:val="009148D4"/>
    <w:rsid w:val="00920575"/>
    <w:rsid w:val="0092275A"/>
    <w:rsid w:val="0092340B"/>
    <w:rsid w:val="00923F20"/>
    <w:rsid w:val="00925197"/>
    <w:rsid w:val="00926ECB"/>
    <w:rsid w:val="00930ED0"/>
    <w:rsid w:val="009312B3"/>
    <w:rsid w:val="00934669"/>
    <w:rsid w:val="009362AF"/>
    <w:rsid w:val="009464E2"/>
    <w:rsid w:val="0094732C"/>
    <w:rsid w:val="00966C02"/>
    <w:rsid w:val="00980E61"/>
    <w:rsid w:val="0099722F"/>
    <w:rsid w:val="009A32FE"/>
    <w:rsid w:val="009A3ADA"/>
    <w:rsid w:val="009B1682"/>
    <w:rsid w:val="009B76A9"/>
    <w:rsid w:val="009C1DD5"/>
    <w:rsid w:val="009C370C"/>
    <w:rsid w:val="009C52C2"/>
    <w:rsid w:val="009C5573"/>
    <w:rsid w:val="009C5B68"/>
    <w:rsid w:val="009D072D"/>
    <w:rsid w:val="009D1003"/>
    <w:rsid w:val="009E00BB"/>
    <w:rsid w:val="009E38F9"/>
    <w:rsid w:val="009F2505"/>
    <w:rsid w:val="00A04F67"/>
    <w:rsid w:val="00A1417C"/>
    <w:rsid w:val="00A204A8"/>
    <w:rsid w:val="00A20680"/>
    <w:rsid w:val="00A24ED1"/>
    <w:rsid w:val="00A27648"/>
    <w:rsid w:val="00A30E02"/>
    <w:rsid w:val="00A35395"/>
    <w:rsid w:val="00A6531A"/>
    <w:rsid w:val="00A72178"/>
    <w:rsid w:val="00A74ADD"/>
    <w:rsid w:val="00A8102F"/>
    <w:rsid w:val="00A814A8"/>
    <w:rsid w:val="00A815AE"/>
    <w:rsid w:val="00A82B29"/>
    <w:rsid w:val="00A82CB4"/>
    <w:rsid w:val="00A8582E"/>
    <w:rsid w:val="00A90A96"/>
    <w:rsid w:val="00A92F87"/>
    <w:rsid w:val="00A93327"/>
    <w:rsid w:val="00A950FC"/>
    <w:rsid w:val="00AA2E2B"/>
    <w:rsid w:val="00AA385B"/>
    <w:rsid w:val="00AA4E7D"/>
    <w:rsid w:val="00AB2A95"/>
    <w:rsid w:val="00AC253D"/>
    <w:rsid w:val="00AC6AF5"/>
    <w:rsid w:val="00AC7166"/>
    <w:rsid w:val="00AE76B8"/>
    <w:rsid w:val="00AF24EE"/>
    <w:rsid w:val="00AF4433"/>
    <w:rsid w:val="00AF4C09"/>
    <w:rsid w:val="00B028C3"/>
    <w:rsid w:val="00B05436"/>
    <w:rsid w:val="00B1260E"/>
    <w:rsid w:val="00B13E20"/>
    <w:rsid w:val="00B14192"/>
    <w:rsid w:val="00B21CF5"/>
    <w:rsid w:val="00B23B8E"/>
    <w:rsid w:val="00B23CB6"/>
    <w:rsid w:val="00B3230B"/>
    <w:rsid w:val="00B34DAA"/>
    <w:rsid w:val="00B42AE1"/>
    <w:rsid w:val="00B4383B"/>
    <w:rsid w:val="00B46018"/>
    <w:rsid w:val="00B600BB"/>
    <w:rsid w:val="00B70A36"/>
    <w:rsid w:val="00B72DBB"/>
    <w:rsid w:val="00B73011"/>
    <w:rsid w:val="00B7382B"/>
    <w:rsid w:val="00B7526D"/>
    <w:rsid w:val="00B771F3"/>
    <w:rsid w:val="00B825C5"/>
    <w:rsid w:val="00B829F0"/>
    <w:rsid w:val="00B87D79"/>
    <w:rsid w:val="00B9514A"/>
    <w:rsid w:val="00B97FB1"/>
    <w:rsid w:val="00BA3FEB"/>
    <w:rsid w:val="00BA675D"/>
    <w:rsid w:val="00BB1C20"/>
    <w:rsid w:val="00BB2985"/>
    <w:rsid w:val="00BB51CB"/>
    <w:rsid w:val="00BB5E60"/>
    <w:rsid w:val="00BC09A0"/>
    <w:rsid w:val="00BC2412"/>
    <w:rsid w:val="00BC39DF"/>
    <w:rsid w:val="00BC3AF3"/>
    <w:rsid w:val="00BD0328"/>
    <w:rsid w:val="00BD54EE"/>
    <w:rsid w:val="00BD621D"/>
    <w:rsid w:val="00BE01A2"/>
    <w:rsid w:val="00BE3675"/>
    <w:rsid w:val="00BE4199"/>
    <w:rsid w:val="00BE4395"/>
    <w:rsid w:val="00BE66B7"/>
    <w:rsid w:val="00BF5C92"/>
    <w:rsid w:val="00C0456A"/>
    <w:rsid w:val="00C06D55"/>
    <w:rsid w:val="00C14195"/>
    <w:rsid w:val="00C16165"/>
    <w:rsid w:val="00C247AF"/>
    <w:rsid w:val="00C255DC"/>
    <w:rsid w:val="00C31897"/>
    <w:rsid w:val="00C4796B"/>
    <w:rsid w:val="00C536EA"/>
    <w:rsid w:val="00C53AC2"/>
    <w:rsid w:val="00C64CCD"/>
    <w:rsid w:val="00C70FCD"/>
    <w:rsid w:val="00C71D6C"/>
    <w:rsid w:val="00C71E7D"/>
    <w:rsid w:val="00C7424D"/>
    <w:rsid w:val="00C76E53"/>
    <w:rsid w:val="00C77F6A"/>
    <w:rsid w:val="00C87F96"/>
    <w:rsid w:val="00C90681"/>
    <w:rsid w:val="00CA3246"/>
    <w:rsid w:val="00CA47AD"/>
    <w:rsid w:val="00CA5740"/>
    <w:rsid w:val="00CA5B19"/>
    <w:rsid w:val="00CA72EF"/>
    <w:rsid w:val="00CB5028"/>
    <w:rsid w:val="00CC00A0"/>
    <w:rsid w:val="00CD04ED"/>
    <w:rsid w:val="00CD089C"/>
    <w:rsid w:val="00CD39B5"/>
    <w:rsid w:val="00CD3BE9"/>
    <w:rsid w:val="00CD53D5"/>
    <w:rsid w:val="00CD6FE4"/>
    <w:rsid w:val="00CE0B74"/>
    <w:rsid w:val="00CE17FF"/>
    <w:rsid w:val="00CE2F78"/>
    <w:rsid w:val="00CE52AE"/>
    <w:rsid w:val="00CE5483"/>
    <w:rsid w:val="00CF1354"/>
    <w:rsid w:val="00CF4636"/>
    <w:rsid w:val="00CF75A6"/>
    <w:rsid w:val="00D01DC9"/>
    <w:rsid w:val="00D026AB"/>
    <w:rsid w:val="00D02B8C"/>
    <w:rsid w:val="00D02D73"/>
    <w:rsid w:val="00D14F89"/>
    <w:rsid w:val="00D26E75"/>
    <w:rsid w:val="00D35272"/>
    <w:rsid w:val="00D35305"/>
    <w:rsid w:val="00D35775"/>
    <w:rsid w:val="00D43760"/>
    <w:rsid w:val="00D43E73"/>
    <w:rsid w:val="00D50FE5"/>
    <w:rsid w:val="00D66DAA"/>
    <w:rsid w:val="00D6740B"/>
    <w:rsid w:val="00D7203C"/>
    <w:rsid w:val="00D720F3"/>
    <w:rsid w:val="00D77CCF"/>
    <w:rsid w:val="00D83CDD"/>
    <w:rsid w:val="00D8621F"/>
    <w:rsid w:val="00D90436"/>
    <w:rsid w:val="00D91B83"/>
    <w:rsid w:val="00D92000"/>
    <w:rsid w:val="00D93218"/>
    <w:rsid w:val="00D93674"/>
    <w:rsid w:val="00D9574C"/>
    <w:rsid w:val="00D978C0"/>
    <w:rsid w:val="00DA124E"/>
    <w:rsid w:val="00DA231A"/>
    <w:rsid w:val="00DB7126"/>
    <w:rsid w:val="00DC30DF"/>
    <w:rsid w:val="00DD121C"/>
    <w:rsid w:val="00DD4AAB"/>
    <w:rsid w:val="00DE2756"/>
    <w:rsid w:val="00DE6D76"/>
    <w:rsid w:val="00DE71BC"/>
    <w:rsid w:val="00DF0726"/>
    <w:rsid w:val="00DF2F74"/>
    <w:rsid w:val="00DF4A57"/>
    <w:rsid w:val="00DF4C4C"/>
    <w:rsid w:val="00DF5EEB"/>
    <w:rsid w:val="00E039AE"/>
    <w:rsid w:val="00E046AC"/>
    <w:rsid w:val="00E13994"/>
    <w:rsid w:val="00E13F4C"/>
    <w:rsid w:val="00E1496F"/>
    <w:rsid w:val="00E161FB"/>
    <w:rsid w:val="00E252FF"/>
    <w:rsid w:val="00E3104E"/>
    <w:rsid w:val="00E31416"/>
    <w:rsid w:val="00E31D04"/>
    <w:rsid w:val="00E338DF"/>
    <w:rsid w:val="00E33E16"/>
    <w:rsid w:val="00E402CC"/>
    <w:rsid w:val="00E57A53"/>
    <w:rsid w:val="00E665A4"/>
    <w:rsid w:val="00E713D7"/>
    <w:rsid w:val="00E74510"/>
    <w:rsid w:val="00E80658"/>
    <w:rsid w:val="00E821A6"/>
    <w:rsid w:val="00E937E6"/>
    <w:rsid w:val="00EA077B"/>
    <w:rsid w:val="00EA452E"/>
    <w:rsid w:val="00EA5B67"/>
    <w:rsid w:val="00EA704E"/>
    <w:rsid w:val="00EB1874"/>
    <w:rsid w:val="00EB1CE4"/>
    <w:rsid w:val="00EB1D51"/>
    <w:rsid w:val="00EB30FD"/>
    <w:rsid w:val="00EC4810"/>
    <w:rsid w:val="00EC7664"/>
    <w:rsid w:val="00ED0165"/>
    <w:rsid w:val="00ED43EE"/>
    <w:rsid w:val="00EF12C3"/>
    <w:rsid w:val="00EF2F05"/>
    <w:rsid w:val="00EF3685"/>
    <w:rsid w:val="00F07CFC"/>
    <w:rsid w:val="00F176E0"/>
    <w:rsid w:val="00F26F2A"/>
    <w:rsid w:val="00F3051A"/>
    <w:rsid w:val="00F34A4D"/>
    <w:rsid w:val="00F351B0"/>
    <w:rsid w:val="00F35C34"/>
    <w:rsid w:val="00F40991"/>
    <w:rsid w:val="00F41E32"/>
    <w:rsid w:val="00F52774"/>
    <w:rsid w:val="00F57D5A"/>
    <w:rsid w:val="00F61533"/>
    <w:rsid w:val="00F63DF9"/>
    <w:rsid w:val="00F644F3"/>
    <w:rsid w:val="00F66BC4"/>
    <w:rsid w:val="00F67BF2"/>
    <w:rsid w:val="00F75D53"/>
    <w:rsid w:val="00F77AB8"/>
    <w:rsid w:val="00F81F3C"/>
    <w:rsid w:val="00F87EF9"/>
    <w:rsid w:val="00F910B5"/>
    <w:rsid w:val="00F95FAF"/>
    <w:rsid w:val="00FA0DEA"/>
    <w:rsid w:val="00FC5528"/>
    <w:rsid w:val="00FE04B6"/>
    <w:rsid w:val="00FE3D23"/>
    <w:rsid w:val="00FE4F6D"/>
    <w:rsid w:val="00FE50AB"/>
    <w:rsid w:val="00FE6E96"/>
    <w:rsid w:val="00FE6F46"/>
    <w:rsid w:val="00FF5E45"/>
    <w:rsid w:val="00FF69BF"/>
    <w:rsid w:val="05728536"/>
    <w:rsid w:val="06E37CA9"/>
    <w:rsid w:val="06F8EA19"/>
    <w:rsid w:val="088FA00F"/>
    <w:rsid w:val="0CDCFA7B"/>
    <w:rsid w:val="1137CE67"/>
    <w:rsid w:val="12FCAED2"/>
    <w:rsid w:val="15A9E5EE"/>
    <w:rsid w:val="207E4E3C"/>
    <w:rsid w:val="24090AA8"/>
    <w:rsid w:val="242EDD8D"/>
    <w:rsid w:val="25090A11"/>
    <w:rsid w:val="293BD5DC"/>
    <w:rsid w:val="2D39974D"/>
    <w:rsid w:val="30048293"/>
    <w:rsid w:val="30E02CC1"/>
    <w:rsid w:val="3DE102F7"/>
    <w:rsid w:val="4084E009"/>
    <w:rsid w:val="44D40681"/>
    <w:rsid w:val="47929DC8"/>
    <w:rsid w:val="47B575E9"/>
    <w:rsid w:val="4A374F54"/>
    <w:rsid w:val="4A71360D"/>
    <w:rsid w:val="4C7459B7"/>
    <w:rsid w:val="4CF7E3EF"/>
    <w:rsid w:val="4FBB9A72"/>
    <w:rsid w:val="501AB5BC"/>
    <w:rsid w:val="50DAD7A0"/>
    <w:rsid w:val="59AFBFD6"/>
    <w:rsid w:val="5C3AF770"/>
    <w:rsid w:val="5DE6D40D"/>
    <w:rsid w:val="5E47D5DA"/>
    <w:rsid w:val="5E777995"/>
    <w:rsid w:val="685E1537"/>
    <w:rsid w:val="7057FBF4"/>
    <w:rsid w:val="70727CEE"/>
    <w:rsid w:val="719DE4C3"/>
    <w:rsid w:val="76F87693"/>
    <w:rsid w:val="7BE179E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E3012"/>
  <w15:docId w15:val="{F74E460C-F1AB-4794-93A5-2A440775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8274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408"/>
    <w:rPr>
      <w:b/>
      <w:bCs/>
    </w:rPr>
  </w:style>
  <w:style w:type="character" w:styleId="Hyperlink">
    <w:name w:val="Hyperlink"/>
    <w:basedOn w:val="DefaultParagraphFont"/>
    <w:uiPriority w:val="99"/>
    <w:unhideWhenUsed/>
    <w:rsid w:val="00827408"/>
    <w:rPr>
      <w:color w:val="0000FF"/>
      <w:u w:val="single"/>
    </w:rPr>
  </w:style>
  <w:style w:type="character" w:styleId="Emphasis">
    <w:name w:val="Emphasis"/>
    <w:basedOn w:val="DefaultParagraphFont"/>
    <w:uiPriority w:val="20"/>
    <w:qFormat/>
    <w:rsid w:val="00827408"/>
    <w:rPr>
      <w:i/>
      <w:iCs/>
    </w:rPr>
  </w:style>
  <w:style w:type="paragraph" w:styleId="Header">
    <w:name w:val="header"/>
    <w:basedOn w:val="Normal"/>
    <w:link w:val="HeaderChar"/>
    <w:uiPriority w:val="99"/>
    <w:unhideWhenUsed/>
    <w:rsid w:val="00FE3D23"/>
    <w:pPr>
      <w:tabs>
        <w:tab w:val="center" w:pos="4680"/>
        <w:tab w:val="right" w:pos="9360"/>
      </w:tabs>
      <w:spacing w:line="240" w:lineRule="auto"/>
    </w:pPr>
  </w:style>
  <w:style w:type="character" w:customStyle="1" w:styleId="HeaderChar">
    <w:name w:val="Header Char"/>
    <w:basedOn w:val="DefaultParagraphFont"/>
    <w:link w:val="Header"/>
    <w:uiPriority w:val="99"/>
    <w:rsid w:val="00FE3D23"/>
  </w:style>
  <w:style w:type="paragraph" w:styleId="Footer">
    <w:name w:val="footer"/>
    <w:basedOn w:val="Normal"/>
    <w:link w:val="FooterChar"/>
    <w:uiPriority w:val="99"/>
    <w:unhideWhenUsed/>
    <w:rsid w:val="00FE3D23"/>
    <w:pPr>
      <w:tabs>
        <w:tab w:val="center" w:pos="4680"/>
        <w:tab w:val="right" w:pos="9360"/>
      </w:tabs>
      <w:spacing w:line="240" w:lineRule="auto"/>
    </w:pPr>
  </w:style>
  <w:style w:type="character" w:customStyle="1" w:styleId="FooterChar">
    <w:name w:val="Footer Char"/>
    <w:basedOn w:val="DefaultParagraphFont"/>
    <w:link w:val="Footer"/>
    <w:uiPriority w:val="99"/>
    <w:rsid w:val="00FE3D23"/>
  </w:style>
  <w:style w:type="paragraph" w:styleId="Revision">
    <w:name w:val="Revision"/>
    <w:hidden/>
    <w:uiPriority w:val="99"/>
    <w:semiHidden/>
    <w:rsid w:val="003F65E6"/>
    <w:pPr>
      <w:spacing w:line="240" w:lineRule="auto"/>
    </w:pPr>
  </w:style>
  <w:style w:type="character" w:styleId="UnresolvedMention">
    <w:name w:val="Unresolved Mention"/>
    <w:basedOn w:val="DefaultParagraphFont"/>
    <w:uiPriority w:val="99"/>
    <w:semiHidden/>
    <w:unhideWhenUsed/>
    <w:rsid w:val="003F65E6"/>
    <w:rPr>
      <w:color w:val="605E5C"/>
      <w:shd w:val="clear" w:color="auto" w:fill="E1DFDD"/>
    </w:rPr>
  </w:style>
  <w:style w:type="paragraph" w:styleId="BodyText">
    <w:name w:val="Body Text"/>
    <w:basedOn w:val="Normal"/>
    <w:link w:val="BodyTextChar"/>
    <w:uiPriority w:val="1"/>
    <w:qFormat/>
    <w:rsid w:val="003F65E6"/>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3F65E6"/>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3F65E6"/>
    <w:rPr>
      <w:color w:val="800080" w:themeColor="followedHyperlink"/>
      <w:u w:val="single"/>
    </w:rPr>
  </w:style>
  <w:style w:type="paragraph" w:styleId="ListParagraph">
    <w:name w:val="List Paragraph"/>
    <w:basedOn w:val="Normal"/>
    <w:uiPriority w:val="34"/>
    <w:qFormat/>
    <w:rsid w:val="001E045A"/>
    <w:pPr>
      <w:ind w:left="720"/>
      <w:contextualSpacing/>
    </w:pPr>
  </w:style>
  <w:style w:type="character" w:styleId="CommentReference">
    <w:name w:val="annotation reference"/>
    <w:basedOn w:val="DefaultParagraphFont"/>
    <w:uiPriority w:val="99"/>
    <w:semiHidden/>
    <w:unhideWhenUsed/>
    <w:rsid w:val="00601AB8"/>
    <w:rPr>
      <w:sz w:val="16"/>
      <w:szCs w:val="16"/>
    </w:rPr>
  </w:style>
  <w:style w:type="paragraph" w:styleId="CommentText">
    <w:name w:val="annotation text"/>
    <w:basedOn w:val="Normal"/>
    <w:link w:val="CommentTextChar"/>
    <w:uiPriority w:val="99"/>
    <w:unhideWhenUsed/>
    <w:rsid w:val="00601AB8"/>
    <w:pPr>
      <w:spacing w:line="240" w:lineRule="auto"/>
    </w:pPr>
    <w:rPr>
      <w:sz w:val="20"/>
      <w:szCs w:val="20"/>
    </w:rPr>
  </w:style>
  <w:style w:type="character" w:customStyle="1" w:styleId="CommentTextChar">
    <w:name w:val="Comment Text Char"/>
    <w:basedOn w:val="DefaultParagraphFont"/>
    <w:link w:val="CommentText"/>
    <w:uiPriority w:val="99"/>
    <w:rsid w:val="00601AB8"/>
    <w:rPr>
      <w:sz w:val="20"/>
      <w:szCs w:val="20"/>
    </w:rPr>
  </w:style>
  <w:style w:type="paragraph" w:styleId="CommentSubject">
    <w:name w:val="annotation subject"/>
    <w:basedOn w:val="CommentText"/>
    <w:next w:val="CommentText"/>
    <w:link w:val="CommentSubjectChar"/>
    <w:uiPriority w:val="99"/>
    <w:semiHidden/>
    <w:unhideWhenUsed/>
    <w:rsid w:val="00601AB8"/>
    <w:rPr>
      <w:b/>
      <w:bCs/>
    </w:rPr>
  </w:style>
  <w:style w:type="character" w:customStyle="1" w:styleId="CommentSubjectChar">
    <w:name w:val="Comment Subject Char"/>
    <w:basedOn w:val="CommentTextChar"/>
    <w:link w:val="CommentSubject"/>
    <w:uiPriority w:val="99"/>
    <w:semiHidden/>
    <w:rsid w:val="00601AB8"/>
    <w:rPr>
      <w:b/>
      <w:bCs/>
      <w:sz w:val="20"/>
      <w:szCs w:val="20"/>
    </w:rPr>
  </w:style>
  <w:style w:type="paragraph" w:styleId="Caption">
    <w:name w:val="caption"/>
    <w:basedOn w:val="Normal"/>
    <w:next w:val="Normal"/>
    <w:uiPriority w:val="35"/>
    <w:unhideWhenUsed/>
    <w:qFormat/>
    <w:rsid w:val="00AF4C09"/>
    <w:pPr>
      <w:spacing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A8582E"/>
    <w:pPr>
      <w:spacing w:line="240" w:lineRule="auto"/>
    </w:pPr>
    <w:rPr>
      <w:sz w:val="20"/>
      <w:szCs w:val="20"/>
    </w:rPr>
  </w:style>
  <w:style w:type="character" w:customStyle="1" w:styleId="FootnoteTextChar">
    <w:name w:val="Footnote Text Char"/>
    <w:basedOn w:val="DefaultParagraphFont"/>
    <w:link w:val="FootnoteText"/>
    <w:uiPriority w:val="99"/>
    <w:rsid w:val="00A8582E"/>
    <w:rPr>
      <w:sz w:val="20"/>
      <w:szCs w:val="20"/>
    </w:rPr>
  </w:style>
  <w:style w:type="character" w:styleId="FootnoteReference">
    <w:name w:val="footnote reference"/>
    <w:basedOn w:val="DefaultParagraphFont"/>
    <w:uiPriority w:val="99"/>
    <w:semiHidden/>
    <w:unhideWhenUsed/>
    <w:rsid w:val="00A8582E"/>
    <w:rPr>
      <w:vertAlign w:val="superscript"/>
    </w:rPr>
  </w:style>
  <w:style w:type="paragraph" w:customStyle="1" w:styleId="p1">
    <w:name w:val="p1"/>
    <w:basedOn w:val="Normal"/>
    <w:rsid w:val="00AF4433"/>
    <w:pPr>
      <w:spacing w:before="100" w:beforeAutospacing="1" w:after="100" w:afterAutospacing="1" w:line="240" w:lineRule="auto"/>
    </w:pPr>
    <w:rPr>
      <w:rFonts w:ascii="Times New Roman" w:eastAsiaTheme="minorEastAsia" w:hAnsi="Times New Roman" w:cs="Times New Roman"/>
      <w:sz w:val="24"/>
      <w:szCs w:val="24"/>
      <w:lang w:eastAsia="en-US"/>
    </w:rPr>
  </w:style>
  <w:style w:type="character" w:customStyle="1" w:styleId="s1">
    <w:name w:val="s1"/>
    <w:basedOn w:val="DefaultParagraphFont"/>
    <w:rsid w:val="00AF4433"/>
  </w:style>
  <w:style w:type="character" w:customStyle="1" w:styleId="apple-converted-space">
    <w:name w:val="apple-converted-space"/>
    <w:basedOn w:val="DefaultParagraphFont"/>
    <w:rsid w:val="00AF4433"/>
  </w:style>
  <w:style w:type="character" w:customStyle="1" w:styleId="s2">
    <w:name w:val="s2"/>
    <w:basedOn w:val="DefaultParagraphFont"/>
    <w:rsid w:val="003B2729"/>
  </w:style>
  <w:style w:type="paragraph" w:customStyle="1" w:styleId="p2">
    <w:name w:val="p2"/>
    <w:basedOn w:val="Normal"/>
    <w:rsid w:val="003B2729"/>
    <w:pPr>
      <w:spacing w:before="100" w:beforeAutospacing="1" w:after="100" w:afterAutospacing="1" w:line="240" w:lineRule="auto"/>
    </w:pPr>
    <w:rPr>
      <w:rFonts w:ascii="Times New Roman" w:eastAsiaTheme="minorEastAsia" w:hAnsi="Times New Roman" w:cs="Times New Roman"/>
      <w:sz w:val="24"/>
      <w:szCs w:val="24"/>
      <w:lang w:eastAsia="en-US"/>
    </w:rPr>
  </w:style>
  <w:style w:type="table" w:styleId="TableGrid">
    <w:name w:val="Table Grid"/>
    <w:basedOn w:val="TableNormal"/>
    <w:uiPriority w:val="39"/>
    <w:rsid w:val="00BF5C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6314">
      <w:bodyDiv w:val="1"/>
      <w:marLeft w:val="0"/>
      <w:marRight w:val="0"/>
      <w:marTop w:val="0"/>
      <w:marBottom w:val="0"/>
      <w:divBdr>
        <w:top w:val="none" w:sz="0" w:space="0" w:color="auto"/>
        <w:left w:val="none" w:sz="0" w:space="0" w:color="auto"/>
        <w:bottom w:val="none" w:sz="0" w:space="0" w:color="auto"/>
        <w:right w:val="none" w:sz="0" w:space="0" w:color="auto"/>
      </w:divBdr>
    </w:div>
    <w:div w:id="2114932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orpiogold.com/news/scorpio-gold-closes-purchase-of-kinross-manhattan-property-nye-county-nevada/" TargetMode="External"/><Relationship Id="rId18" Type="http://schemas.openxmlformats.org/officeDocument/2006/relationships/hyperlink" Target="https://twitter.com/NewScorpioGold"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kinross.com/operations/default.aspx" TargetMode="External"/><Relationship Id="rId17" Type="http://schemas.openxmlformats.org/officeDocument/2006/relationships/hyperlink" Target="https://www.linkedin.com/company/scorpio-gold-coporation/about/?viewAsMember=true" TargetMode="External"/><Relationship Id="rId2" Type="http://schemas.openxmlformats.org/officeDocument/2006/relationships/styles" Target="styles.xml"/><Relationship Id="rId16" Type="http://schemas.openxmlformats.org/officeDocument/2006/relationships/hyperlink" Target="https://www.facebook.com/profile.php?id=61556975236485" TargetMode="External"/><Relationship Id="rId20" Type="http://schemas.openxmlformats.org/officeDocument/2006/relationships/hyperlink" Target="https://scorpiogold.com/contact/subscri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corpiogold.com/contact/subscrib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channel/UCSOkmL5DnhgAD7pdXTcbbf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zayn@scorpiogold.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11</Pages>
  <Words>2610</Words>
  <Characters>19087</Characters>
  <Application>Microsoft Office Word</Application>
  <DocSecurity>0</DocSecurity>
  <Lines>1363</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CharactersWithSpaces>
  <SharedDoc>false</SharedDoc>
  <HLinks>
    <vt:vector size="60" baseType="variant">
      <vt:variant>
        <vt:i4>6422560</vt:i4>
      </vt:variant>
      <vt:variant>
        <vt:i4>24</vt:i4>
      </vt:variant>
      <vt:variant>
        <vt:i4>0</vt:i4>
      </vt:variant>
      <vt:variant>
        <vt:i4>5</vt:i4>
      </vt:variant>
      <vt:variant>
        <vt:lpwstr>https://scorpiogold.com/contact/subscribe/</vt:lpwstr>
      </vt:variant>
      <vt:variant>
        <vt:lpwstr/>
      </vt:variant>
      <vt:variant>
        <vt:i4>4456477</vt:i4>
      </vt:variant>
      <vt:variant>
        <vt:i4>21</vt:i4>
      </vt:variant>
      <vt:variant>
        <vt:i4>0</vt:i4>
      </vt:variant>
      <vt:variant>
        <vt:i4>5</vt:i4>
      </vt:variant>
      <vt:variant>
        <vt:lpwstr>https://www.youtube.com/channel/UCSOkmL5DnhgAD7pdXTcbbfg</vt:lpwstr>
      </vt:variant>
      <vt:variant>
        <vt:lpwstr/>
      </vt:variant>
      <vt:variant>
        <vt:i4>7602239</vt:i4>
      </vt:variant>
      <vt:variant>
        <vt:i4>18</vt:i4>
      </vt:variant>
      <vt:variant>
        <vt:i4>0</vt:i4>
      </vt:variant>
      <vt:variant>
        <vt:i4>5</vt:i4>
      </vt:variant>
      <vt:variant>
        <vt:lpwstr>https://twitter.com/NewScorpioGold</vt:lpwstr>
      </vt:variant>
      <vt:variant>
        <vt:lpwstr/>
      </vt:variant>
      <vt:variant>
        <vt:i4>4653077</vt:i4>
      </vt:variant>
      <vt:variant>
        <vt:i4>15</vt:i4>
      </vt:variant>
      <vt:variant>
        <vt:i4>0</vt:i4>
      </vt:variant>
      <vt:variant>
        <vt:i4>5</vt:i4>
      </vt:variant>
      <vt:variant>
        <vt:lpwstr>https://www.linkedin.com/company/scorpio-gold-coporation/about/?viewAsMember=true</vt:lpwstr>
      </vt:variant>
      <vt:variant>
        <vt:lpwstr/>
      </vt:variant>
      <vt:variant>
        <vt:i4>3866749</vt:i4>
      </vt:variant>
      <vt:variant>
        <vt:i4>12</vt:i4>
      </vt:variant>
      <vt:variant>
        <vt:i4>0</vt:i4>
      </vt:variant>
      <vt:variant>
        <vt:i4>5</vt:i4>
      </vt:variant>
      <vt:variant>
        <vt:lpwstr>https://www.facebook.com/profile.php?id=61556975236485</vt:lpwstr>
      </vt:variant>
      <vt:variant>
        <vt:lpwstr/>
      </vt:variant>
      <vt:variant>
        <vt:i4>6422560</vt:i4>
      </vt:variant>
      <vt:variant>
        <vt:i4>9</vt:i4>
      </vt:variant>
      <vt:variant>
        <vt:i4>0</vt:i4>
      </vt:variant>
      <vt:variant>
        <vt:i4>5</vt:i4>
      </vt:variant>
      <vt:variant>
        <vt:lpwstr>https://scorpiogold.com/contact/subscribe/</vt:lpwstr>
      </vt:variant>
      <vt:variant>
        <vt:lpwstr/>
      </vt:variant>
      <vt:variant>
        <vt:i4>1245230</vt:i4>
      </vt:variant>
      <vt:variant>
        <vt:i4>6</vt:i4>
      </vt:variant>
      <vt:variant>
        <vt:i4>0</vt:i4>
      </vt:variant>
      <vt:variant>
        <vt:i4>5</vt:i4>
      </vt:variant>
      <vt:variant>
        <vt:lpwstr>mailto:zayn@scorpiogold.com</vt:lpwstr>
      </vt:variant>
      <vt:variant>
        <vt:lpwstr/>
      </vt:variant>
      <vt:variant>
        <vt:i4>3670054</vt:i4>
      </vt:variant>
      <vt:variant>
        <vt:i4>0</vt:i4>
      </vt:variant>
      <vt:variant>
        <vt:i4>0</vt:i4>
      </vt:variant>
      <vt:variant>
        <vt:i4>5</vt:i4>
      </vt:variant>
      <vt:variant>
        <vt:lpwstr>https://scorpiogold.com/news/scorpio-gold-commences-2025-drilling-at-the-manhattan-district-and-plans-initial-resource-estimate-00/</vt:lpwstr>
      </vt:variant>
      <vt:variant>
        <vt:lpwstr/>
      </vt:variant>
      <vt:variant>
        <vt:i4>2949218</vt:i4>
      </vt:variant>
      <vt:variant>
        <vt:i4>6</vt:i4>
      </vt:variant>
      <vt:variant>
        <vt:i4>0</vt:i4>
      </vt:variant>
      <vt:variant>
        <vt:i4>5</vt:i4>
      </vt:variant>
      <vt:variant>
        <vt:lpwstr>http://www.scorpiogold.com/</vt:lpwstr>
      </vt:variant>
      <vt:variant>
        <vt:lpwstr/>
      </vt:variant>
      <vt:variant>
        <vt:i4>2949218</vt:i4>
      </vt:variant>
      <vt:variant>
        <vt:i4>0</vt:i4>
      </vt:variant>
      <vt:variant>
        <vt:i4>0</vt:i4>
      </vt:variant>
      <vt:variant>
        <vt:i4>5</vt:i4>
      </vt:variant>
      <vt:variant>
        <vt:lpwstr>http://www.scorpiogold.com/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Lindsay Nelson</cp:lastModifiedBy>
  <cp:revision>2</cp:revision>
  <dcterms:created xsi:type="dcterms:W3CDTF">2025-11-22T22:38:00Z</dcterms:created>
  <dcterms:modified xsi:type="dcterms:W3CDTF">2025-11-22T22:38:00Z</dcterms:modified>
</cp:coreProperties>
</file>