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3D074" w14:textId="21A6FC3F" w:rsidR="00D90436" w:rsidRDefault="00D90436" w:rsidP="00D90436">
      <w:pPr>
        <w:rPr>
          <w:b/>
          <w:bCs/>
          <w:sz w:val="28"/>
          <w:szCs w:val="28"/>
        </w:rPr>
      </w:pPr>
    </w:p>
    <w:p w14:paraId="45BB726B" w14:textId="77777777" w:rsidR="004336ED" w:rsidRPr="00FE3D23" w:rsidRDefault="004336ED" w:rsidP="00516A24">
      <w:pPr>
        <w:jc w:val="right"/>
        <w:rPr>
          <w:sz w:val="18"/>
          <w:szCs w:val="18"/>
        </w:rPr>
      </w:pPr>
      <w:r>
        <w:rPr>
          <w:noProof/>
          <w:sz w:val="18"/>
          <w:szCs w:val="18"/>
        </w:rPr>
        <w:drawing>
          <wp:anchor distT="0" distB="0" distL="114300" distR="114300" simplePos="0" relativeHeight="251659264" behindDoc="0" locked="0" layoutInCell="1" allowOverlap="1" wp14:anchorId="4DA01A29" wp14:editId="121871DC">
            <wp:simplePos x="0" y="0"/>
            <wp:positionH relativeFrom="column">
              <wp:posOffset>41059</wp:posOffset>
            </wp:positionH>
            <wp:positionV relativeFrom="paragraph">
              <wp:posOffset>41</wp:posOffset>
            </wp:positionV>
            <wp:extent cx="2185670" cy="524510"/>
            <wp:effectExtent l="0" t="0" r="0" b="0"/>
            <wp:wrapSquare wrapText="bothSides"/>
            <wp:docPr id="5671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7352" name="Picture 567173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5670" cy="524510"/>
                    </a:xfrm>
                    <a:prstGeom prst="rect">
                      <a:avLst/>
                    </a:prstGeom>
                  </pic:spPr>
                </pic:pic>
              </a:graphicData>
            </a:graphic>
            <wp14:sizeRelH relativeFrom="page">
              <wp14:pctWidth>0</wp14:pctWidth>
            </wp14:sizeRelH>
            <wp14:sizeRelV relativeFrom="page">
              <wp14:pctHeight>0</wp14:pctHeight>
            </wp14:sizeRelV>
          </wp:anchor>
        </w:drawing>
      </w:r>
      <w:r w:rsidRPr="00FE3D23">
        <w:rPr>
          <w:sz w:val="18"/>
          <w:szCs w:val="18"/>
        </w:rPr>
        <w:t>TSXV: SGN</w:t>
      </w:r>
    </w:p>
    <w:p w14:paraId="43213A94" w14:textId="77777777" w:rsidR="004336ED" w:rsidRDefault="004336ED" w:rsidP="00516A24">
      <w:pPr>
        <w:jc w:val="right"/>
        <w:rPr>
          <w:sz w:val="18"/>
          <w:szCs w:val="18"/>
        </w:rPr>
      </w:pPr>
      <w:r>
        <w:rPr>
          <w:sz w:val="18"/>
          <w:szCs w:val="18"/>
        </w:rPr>
        <w:t>#750-1095 W. Pender St.</w:t>
      </w:r>
    </w:p>
    <w:p w14:paraId="6CD11315" w14:textId="77777777" w:rsidR="004336ED" w:rsidRPr="00FE3D23" w:rsidRDefault="004336ED" w:rsidP="00516A24">
      <w:pPr>
        <w:jc w:val="right"/>
        <w:rPr>
          <w:sz w:val="18"/>
          <w:szCs w:val="18"/>
        </w:rPr>
      </w:pPr>
      <w:r>
        <w:rPr>
          <w:sz w:val="18"/>
          <w:szCs w:val="18"/>
        </w:rPr>
        <w:t>Vancouver, BC V6E2M6</w:t>
      </w:r>
    </w:p>
    <w:p w14:paraId="2BD60C3C" w14:textId="77777777" w:rsidR="004336ED" w:rsidRPr="005D4F46" w:rsidRDefault="004336ED" w:rsidP="00516A24">
      <w:pPr>
        <w:jc w:val="right"/>
        <w:rPr>
          <w:sz w:val="18"/>
          <w:szCs w:val="18"/>
        </w:rPr>
      </w:pPr>
      <w:r w:rsidRPr="00FE3D23">
        <w:rPr>
          <w:color w:val="1155CC"/>
          <w:sz w:val="18"/>
          <w:szCs w:val="18"/>
          <w:u w:val="single"/>
        </w:rPr>
        <w:t>WWW.SCORPIOGOLD.COM</w:t>
      </w:r>
    </w:p>
    <w:p w14:paraId="33F3B7F8" w14:textId="77777777" w:rsidR="00BB20B3" w:rsidRDefault="00BB20B3" w:rsidP="00BB20B3">
      <w:pPr>
        <w:rPr>
          <w:b/>
          <w:bCs/>
          <w:sz w:val="28"/>
          <w:szCs w:val="28"/>
        </w:rPr>
      </w:pPr>
    </w:p>
    <w:p w14:paraId="27E57711" w14:textId="69C53901" w:rsidR="00BB20B3" w:rsidRPr="009A69F4" w:rsidRDefault="00BB20B3" w:rsidP="00BB20B3">
      <w:pPr>
        <w:spacing w:line="240" w:lineRule="auto"/>
        <w:jc w:val="center"/>
        <w:rPr>
          <w:b/>
          <w:bCs/>
          <w:sz w:val="28"/>
          <w:szCs w:val="28"/>
        </w:rPr>
      </w:pPr>
      <w:r w:rsidRPr="009A69F4">
        <w:rPr>
          <w:b/>
          <w:bCs/>
          <w:sz w:val="28"/>
          <w:szCs w:val="28"/>
        </w:rPr>
        <w:t xml:space="preserve">SCORPIO GOLD </w:t>
      </w:r>
      <w:r>
        <w:rPr>
          <w:b/>
          <w:bCs/>
          <w:sz w:val="28"/>
          <w:szCs w:val="28"/>
        </w:rPr>
        <w:t>ANNOUNCES FURTHER DRILL RES</w:t>
      </w:r>
      <w:r w:rsidR="00AA3832">
        <w:rPr>
          <w:b/>
          <w:bCs/>
          <w:sz w:val="28"/>
          <w:szCs w:val="28"/>
        </w:rPr>
        <w:t>ULTS</w:t>
      </w:r>
      <w:r>
        <w:rPr>
          <w:b/>
          <w:bCs/>
          <w:sz w:val="28"/>
          <w:szCs w:val="28"/>
        </w:rPr>
        <w:t xml:space="preserve"> FROM</w:t>
      </w:r>
      <w:r w:rsidRPr="009A69F4">
        <w:rPr>
          <w:b/>
          <w:bCs/>
          <w:sz w:val="28"/>
          <w:szCs w:val="28"/>
        </w:rPr>
        <w:t xml:space="preserve"> MANHATTAN DISTRICT, NEVADA</w:t>
      </w:r>
    </w:p>
    <w:p w14:paraId="29159614" w14:textId="77777777" w:rsidR="00BB20B3" w:rsidRPr="00D10B14" w:rsidRDefault="00BB20B3" w:rsidP="00BB20B3">
      <w:pPr>
        <w:spacing w:line="240" w:lineRule="auto"/>
        <w:rPr>
          <w:highlight w:val="yellow"/>
        </w:rPr>
      </w:pPr>
    </w:p>
    <w:p w14:paraId="3C2B3B02" w14:textId="77777777" w:rsidR="00BB20B3" w:rsidRPr="009A69F4" w:rsidRDefault="00BB20B3" w:rsidP="00BB20B3">
      <w:pPr>
        <w:spacing w:line="240" w:lineRule="auto"/>
        <w:jc w:val="both"/>
        <w:rPr>
          <w:b/>
          <w:bCs/>
        </w:rPr>
      </w:pPr>
      <w:r w:rsidRPr="009A69F4">
        <w:rPr>
          <w:b/>
          <w:bCs/>
        </w:rPr>
        <w:t>Highlights</w:t>
      </w:r>
    </w:p>
    <w:p w14:paraId="618388FA" w14:textId="459F3235" w:rsidR="00BB20B3" w:rsidRPr="009A69F4" w:rsidRDefault="00BB20B3" w:rsidP="00BB20B3">
      <w:pPr>
        <w:pStyle w:val="ListParagraph"/>
        <w:numPr>
          <w:ilvl w:val="0"/>
          <w:numId w:val="7"/>
        </w:numPr>
        <w:spacing w:line="240" w:lineRule="auto"/>
        <w:jc w:val="both"/>
      </w:pPr>
      <w:r w:rsidRPr="009A69F4">
        <w:t>Hole 2</w:t>
      </w:r>
      <w:r w:rsidR="00465D02">
        <w:t>5</w:t>
      </w:r>
      <w:r w:rsidRPr="009A69F4">
        <w:t>MN-0</w:t>
      </w:r>
      <w:r>
        <w:t>3</w:t>
      </w:r>
      <w:r w:rsidRPr="009A69F4">
        <w:t xml:space="preserve">0 returned </w:t>
      </w:r>
      <w:r>
        <w:rPr>
          <w:b/>
          <w:bCs/>
        </w:rPr>
        <w:t>2.21</w:t>
      </w:r>
      <w:r w:rsidRPr="009A69F4">
        <w:rPr>
          <w:b/>
          <w:bCs/>
        </w:rPr>
        <w:t xml:space="preserve"> g/t gold over </w:t>
      </w:r>
      <w:r>
        <w:rPr>
          <w:b/>
          <w:bCs/>
        </w:rPr>
        <w:t>7.38</w:t>
      </w:r>
      <w:r w:rsidRPr="009A69F4">
        <w:rPr>
          <w:b/>
          <w:bCs/>
        </w:rPr>
        <w:t xml:space="preserve"> metres.</w:t>
      </w:r>
    </w:p>
    <w:p w14:paraId="0E2AC314" w14:textId="77777777" w:rsidR="00BB20B3" w:rsidRDefault="00BB20B3" w:rsidP="00BB20B3">
      <w:pPr>
        <w:pStyle w:val="ListParagraph"/>
        <w:numPr>
          <w:ilvl w:val="0"/>
          <w:numId w:val="7"/>
        </w:numPr>
        <w:spacing w:line="240" w:lineRule="auto"/>
        <w:jc w:val="both"/>
      </w:pPr>
      <w:r w:rsidRPr="009A69F4">
        <w:t xml:space="preserve">Hole 25MN-031 returned </w:t>
      </w:r>
      <w:r w:rsidRPr="00E7698C">
        <w:rPr>
          <w:b/>
          <w:bCs/>
        </w:rPr>
        <w:t>0.54 g/t gold over 20.54 metres</w:t>
      </w:r>
      <w:r>
        <w:t xml:space="preserve">, including </w:t>
      </w:r>
      <w:r w:rsidRPr="009A69F4">
        <w:rPr>
          <w:b/>
          <w:bCs/>
        </w:rPr>
        <w:t>1.</w:t>
      </w:r>
      <w:r>
        <w:rPr>
          <w:b/>
          <w:bCs/>
        </w:rPr>
        <w:t>34</w:t>
      </w:r>
      <w:r w:rsidRPr="009A69F4">
        <w:rPr>
          <w:b/>
          <w:bCs/>
        </w:rPr>
        <w:t xml:space="preserve"> g/t gold over </w:t>
      </w:r>
      <w:r>
        <w:rPr>
          <w:b/>
          <w:bCs/>
        </w:rPr>
        <w:t>8.85</w:t>
      </w:r>
      <w:r w:rsidRPr="009A69F4">
        <w:rPr>
          <w:b/>
          <w:bCs/>
        </w:rPr>
        <w:t xml:space="preserve"> metres</w:t>
      </w:r>
      <w:r w:rsidRPr="009A69F4">
        <w:t>.</w:t>
      </w:r>
    </w:p>
    <w:p w14:paraId="198A8B18" w14:textId="77777777" w:rsidR="00BB20B3" w:rsidRPr="009A69F4" w:rsidRDefault="00BB20B3" w:rsidP="00BB20B3">
      <w:pPr>
        <w:pStyle w:val="ListParagraph"/>
        <w:numPr>
          <w:ilvl w:val="0"/>
          <w:numId w:val="7"/>
        </w:numPr>
        <w:spacing w:line="240" w:lineRule="auto"/>
        <w:jc w:val="both"/>
      </w:pPr>
      <w:r>
        <w:t>Numerous intervals located outside of the existing Inferred Mineral Resource constraining pit, calculated at US$2,500.</w:t>
      </w:r>
    </w:p>
    <w:p w14:paraId="7306CD5D" w14:textId="762178DD" w:rsidR="00BB20B3" w:rsidRPr="00613D3F" w:rsidRDefault="00BB20B3" w:rsidP="00BB20B3">
      <w:pPr>
        <w:pStyle w:val="ListParagraph"/>
        <w:numPr>
          <w:ilvl w:val="0"/>
          <w:numId w:val="7"/>
        </w:numPr>
        <w:spacing w:line="240" w:lineRule="auto"/>
        <w:jc w:val="both"/>
      </w:pPr>
      <w:r w:rsidRPr="009A69F4">
        <w:t xml:space="preserve">12 </w:t>
      </w:r>
      <w:r>
        <w:t xml:space="preserve">unreported </w:t>
      </w:r>
      <w:r w:rsidRPr="009A69F4">
        <w:t>holes</w:t>
      </w:r>
      <w:r>
        <w:t xml:space="preserve">, totalling 3,169 </w:t>
      </w:r>
      <w:r w:rsidRPr="009A69F4">
        <w:t>m</w:t>
      </w:r>
      <w:r>
        <w:t xml:space="preserve">, have been completed </w:t>
      </w:r>
      <w:r w:rsidRPr="009A69F4">
        <w:t xml:space="preserve">and </w:t>
      </w:r>
      <w:r>
        <w:t xml:space="preserve">are </w:t>
      </w:r>
      <w:r w:rsidRPr="009A69F4">
        <w:t>pending assays (2</w:t>
      </w:r>
      <w:r w:rsidR="00465D02">
        <w:t>5</w:t>
      </w:r>
      <w:r w:rsidRPr="009A69F4">
        <w:t>MN-034 through 2</w:t>
      </w:r>
      <w:r w:rsidR="00465D02">
        <w:t>5</w:t>
      </w:r>
      <w:r w:rsidRPr="009A69F4">
        <w:t>MN-045).</w:t>
      </w:r>
    </w:p>
    <w:p w14:paraId="67016B15" w14:textId="77777777" w:rsidR="00BB20B3" w:rsidRPr="00D10B14" w:rsidRDefault="00BB20B3" w:rsidP="00BB20B3">
      <w:pPr>
        <w:spacing w:line="240" w:lineRule="auto"/>
        <w:jc w:val="both"/>
        <w:rPr>
          <w:b/>
          <w:bCs/>
          <w:highlight w:val="yellow"/>
        </w:rPr>
      </w:pPr>
    </w:p>
    <w:p w14:paraId="3C760009" w14:textId="0B84D10B" w:rsidR="00BB20B3" w:rsidRDefault="00BB20B3" w:rsidP="00BB20B3">
      <w:pPr>
        <w:spacing w:line="240" w:lineRule="auto"/>
        <w:jc w:val="both"/>
      </w:pPr>
      <w:r w:rsidRPr="009A69F4">
        <w:rPr>
          <w:b/>
          <w:bCs/>
        </w:rPr>
        <w:t xml:space="preserve">December </w:t>
      </w:r>
      <w:r>
        <w:rPr>
          <w:b/>
          <w:bCs/>
        </w:rPr>
        <w:t>30</w:t>
      </w:r>
      <w:r w:rsidRPr="009A69F4">
        <w:rPr>
          <w:b/>
          <w:bCs/>
        </w:rPr>
        <w:t>, 2025 - Vancouver, British Columbia – Scorpio Gold Corp.</w:t>
      </w:r>
      <w:r w:rsidRPr="009A69F4">
        <w:t xml:space="preserve"> </w:t>
      </w:r>
      <w:r w:rsidRPr="009A69F4">
        <w:rPr>
          <w:b/>
          <w:bCs/>
        </w:rPr>
        <w:t>(TSX-V: SGN, OTCQB: SRCRF, FSE: RY9)</w:t>
      </w:r>
      <w:r w:rsidRPr="009A69F4">
        <w:t xml:space="preserve"> (“</w:t>
      </w:r>
      <w:r w:rsidRPr="009A69F4">
        <w:rPr>
          <w:b/>
          <w:bCs/>
        </w:rPr>
        <w:t>Scorpio Gold</w:t>
      </w:r>
      <w:r w:rsidRPr="009A69F4">
        <w:t>”, or the “</w:t>
      </w:r>
      <w:r w:rsidRPr="009A69F4">
        <w:rPr>
          <w:b/>
          <w:bCs/>
        </w:rPr>
        <w:t>Company</w:t>
      </w:r>
      <w:r w:rsidRPr="009A69F4">
        <w:t>”) is pleased to announce results from seven holes from its 2025 drilling program at the Manhattan District Project (“</w:t>
      </w:r>
      <w:r w:rsidRPr="009A69F4">
        <w:rPr>
          <w:b/>
          <w:bCs/>
        </w:rPr>
        <w:t>Manhattan</w:t>
      </w:r>
      <w:r w:rsidRPr="009A69F4">
        <w:t xml:space="preserve">”), Nevada, USA: from the Phase Two program (25MN-027 through 25MN-033). The results are tabulated in Table 1 and discussed below. Scorpio Gold has </w:t>
      </w:r>
      <w:r>
        <w:t>drilled 35 diamond drill holes this year, MN25-</w:t>
      </w:r>
      <w:r w:rsidR="00465D02">
        <w:t>0</w:t>
      </w:r>
      <w:r>
        <w:t>11 through MN25-</w:t>
      </w:r>
      <w:r w:rsidR="00465D02">
        <w:t>0</w:t>
      </w:r>
      <w:r>
        <w:t>45, totalling 1</w:t>
      </w:r>
      <w:r w:rsidR="003E1E7B">
        <w:t>0</w:t>
      </w:r>
      <w:r w:rsidR="000B2B65">
        <w:t>,880</w:t>
      </w:r>
      <w:r>
        <w:t xml:space="preserve"> m. With the results herein, Scorpio Gold has </w:t>
      </w:r>
      <w:r w:rsidRPr="009A69F4">
        <w:t xml:space="preserve">reported assays on </w:t>
      </w:r>
      <w:r>
        <w:t>23</w:t>
      </w:r>
      <w:r w:rsidRPr="00613D3F">
        <w:t xml:space="preserve"> </w:t>
      </w:r>
      <w:r>
        <w:t>of these (25</w:t>
      </w:r>
      <w:r w:rsidR="00465D02">
        <w:t>MN</w:t>
      </w:r>
      <w:r>
        <w:t>-</w:t>
      </w:r>
      <w:r w:rsidR="00465D02">
        <w:t>0</w:t>
      </w:r>
      <w:r>
        <w:t>11 through</w:t>
      </w:r>
      <w:r w:rsidR="00465D02">
        <w:t xml:space="preserve"> </w:t>
      </w:r>
      <w:r>
        <w:t>25</w:t>
      </w:r>
      <w:r w:rsidR="00465D02">
        <w:t>MN</w:t>
      </w:r>
      <w:r>
        <w:t>-</w:t>
      </w:r>
      <w:r w:rsidR="00465D02">
        <w:t>0</w:t>
      </w:r>
      <w:r>
        <w:t xml:space="preserve">33), </w:t>
      </w:r>
      <w:r w:rsidRPr="009A69F4">
        <w:t xml:space="preserve">totalling </w:t>
      </w:r>
      <w:r w:rsidR="007B1C97">
        <w:t>7,711</w:t>
      </w:r>
      <w:r w:rsidRPr="009A69F4">
        <w:t xml:space="preserve"> m</w:t>
      </w:r>
      <w:r>
        <w:t>,</w:t>
      </w:r>
      <w:r w:rsidRPr="009A69F4">
        <w:t xml:space="preserve"> </w:t>
      </w:r>
      <w:r>
        <w:t>and assays are pending from 12 holes (</w:t>
      </w:r>
      <w:r w:rsidRPr="009A69F4">
        <w:t>25MN-034 through 25MN-045</w:t>
      </w:r>
      <w:r>
        <w:t>), totalling 3,169 m. The pending results will be reported in the New Year as they come available and are briefly discussed below.</w:t>
      </w:r>
    </w:p>
    <w:p w14:paraId="6C6A94E7" w14:textId="77777777" w:rsidR="00B23ECB" w:rsidRDefault="00B23ECB" w:rsidP="00BB20B3">
      <w:pPr>
        <w:spacing w:line="240" w:lineRule="auto"/>
        <w:jc w:val="both"/>
      </w:pPr>
    </w:p>
    <w:p w14:paraId="430427A3" w14:textId="1AF498FC" w:rsidR="00B23ECB" w:rsidRPr="006A4487" w:rsidRDefault="007B1C97" w:rsidP="00BB20B3">
      <w:pPr>
        <w:spacing w:line="240" w:lineRule="auto"/>
        <w:jc w:val="both"/>
      </w:pPr>
      <w:r>
        <w:t>“</w:t>
      </w:r>
      <w:r w:rsidR="00B23ECB" w:rsidRPr="00B23ECB">
        <w:t xml:space="preserve">Scorpio Gold continues to drill holes that step out from the existing resource model, both laterally and at depth, and that continue to expand the resource envelope and the constraining pit, modelled at a gold price of </w:t>
      </w:r>
      <w:r w:rsidR="00B23ECB" w:rsidRPr="00B23ECB">
        <w:rPr>
          <w:b/>
          <w:bCs/>
        </w:rPr>
        <w:t>US$2,500</w:t>
      </w:r>
      <w:r w:rsidR="00B23ECB" w:rsidRPr="00B23ECB">
        <w:t xml:space="preserve">. Importantly, the results reported to date demonstrate that this drilling is </w:t>
      </w:r>
      <w:r w:rsidR="00B23ECB" w:rsidRPr="00B23ECB">
        <w:rPr>
          <w:b/>
          <w:bCs/>
        </w:rPr>
        <w:t>additive to the existing mineralized system</w:t>
      </w:r>
      <w:r w:rsidR="00B23ECB" w:rsidRPr="00B23ECB">
        <w:t xml:space="preserve">, with multiple intercepts extending mineralization beyond the current inferred resource footprint and contributing to the potential for increased mineralized tonnage. Additionally, this new drilling has intercepted </w:t>
      </w:r>
      <w:r w:rsidR="00B23ECB" w:rsidRPr="00B23ECB">
        <w:rPr>
          <w:b/>
          <w:bCs/>
        </w:rPr>
        <w:t>both previously mapped and newly recognized mineralized structures</w:t>
      </w:r>
      <w:r w:rsidR="00B23ECB" w:rsidRPr="00B23ECB">
        <w:t xml:space="preserve">, building on the team’s understanding of the deposit’s structural framework and enhancing our ability to predict future accretive drill targets. Results from the 12 completed holes are eagerly anticipated and will be released in the New Year. </w:t>
      </w:r>
      <w:r w:rsidR="00B23ECB" w:rsidRPr="00B23ECB">
        <w:rPr>
          <w:b/>
          <w:bCs/>
        </w:rPr>
        <w:t>We recognize that, with three drills now in the field, there is an expectation for a cadence of results to be delivered to the market, and we will endeavour to maintain a consistent flow of results, subject to laboratory turnaround times and rigorous QA/QC,</w:t>
      </w:r>
      <w:r w:rsidR="00B23ECB" w:rsidRPr="00B23ECB">
        <w:t>” commented Zayn Kalyan, CEO and Director of Scorpio Gold.</w:t>
      </w:r>
    </w:p>
    <w:p w14:paraId="6D4D1F65" w14:textId="372D995B" w:rsidR="00E7698C" w:rsidRDefault="00613D3F" w:rsidP="00E7698C">
      <w:pPr>
        <w:pStyle w:val="p1"/>
        <w:jc w:val="both"/>
        <w:rPr>
          <w:lang w:val="en-US"/>
        </w:rPr>
      </w:pPr>
      <w:r>
        <w:rPr>
          <w:rFonts w:ascii="Arial" w:hAnsi="Arial" w:cs="Arial"/>
          <w:sz w:val="22"/>
          <w:szCs w:val="22"/>
        </w:rPr>
        <w:t>Three holes were drilled in the Gap Zone (25</w:t>
      </w:r>
      <w:r w:rsidR="00465D02">
        <w:rPr>
          <w:rFonts w:ascii="Arial" w:hAnsi="Arial" w:cs="Arial"/>
          <w:sz w:val="22"/>
          <w:szCs w:val="22"/>
        </w:rPr>
        <w:t>MN</w:t>
      </w:r>
      <w:r>
        <w:rPr>
          <w:rFonts w:ascii="Arial" w:hAnsi="Arial" w:cs="Arial"/>
          <w:sz w:val="22"/>
          <w:szCs w:val="22"/>
        </w:rPr>
        <w:t>-027, 25</w:t>
      </w:r>
      <w:r w:rsidR="00465D02">
        <w:rPr>
          <w:rFonts w:ascii="Arial" w:hAnsi="Arial" w:cs="Arial"/>
          <w:sz w:val="22"/>
          <w:szCs w:val="22"/>
        </w:rPr>
        <w:t>MN</w:t>
      </w:r>
      <w:r>
        <w:rPr>
          <w:rFonts w:ascii="Arial" w:hAnsi="Arial" w:cs="Arial"/>
          <w:sz w:val="22"/>
          <w:szCs w:val="22"/>
        </w:rPr>
        <w:t>-028 and 25</w:t>
      </w:r>
      <w:r w:rsidR="00465D02">
        <w:rPr>
          <w:rFonts w:ascii="Arial" w:hAnsi="Arial" w:cs="Arial"/>
          <w:sz w:val="22"/>
          <w:szCs w:val="22"/>
        </w:rPr>
        <w:t>MN</w:t>
      </w:r>
      <w:r>
        <w:rPr>
          <w:rFonts w:ascii="Arial" w:hAnsi="Arial" w:cs="Arial"/>
          <w:sz w:val="22"/>
          <w:szCs w:val="22"/>
        </w:rPr>
        <w:t>-028), two holes were drilled at the southern end of the West Pit (25</w:t>
      </w:r>
      <w:r w:rsidR="00465D02">
        <w:rPr>
          <w:rFonts w:ascii="Arial" w:hAnsi="Arial" w:cs="Arial"/>
          <w:sz w:val="22"/>
          <w:szCs w:val="22"/>
        </w:rPr>
        <w:t>MN</w:t>
      </w:r>
      <w:r>
        <w:rPr>
          <w:rFonts w:ascii="Arial" w:hAnsi="Arial" w:cs="Arial"/>
          <w:sz w:val="22"/>
          <w:szCs w:val="22"/>
        </w:rPr>
        <w:t>-032 and 25</w:t>
      </w:r>
      <w:r w:rsidR="00465D02">
        <w:rPr>
          <w:rFonts w:ascii="Arial" w:hAnsi="Arial" w:cs="Arial"/>
          <w:sz w:val="22"/>
          <w:szCs w:val="22"/>
        </w:rPr>
        <w:t>MN</w:t>
      </w:r>
      <w:r>
        <w:rPr>
          <w:rFonts w:ascii="Arial" w:hAnsi="Arial" w:cs="Arial"/>
          <w:sz w:val="22"/>
          <w:szCs w:val="22"/>
        </w:rPr>
        <w:t>-033</w:t>
      </w:r>
      <w:proofErr w:type="gramStart"/>
      <w:r>
        <w:rPr>
          <w:rFonts w:ascii="Arial" w:hAnsi="Arial" w:cs="Arial"/>
          <w:sz w:val="22"/>
          <w:szCs w:val="22"/>
        </w:rPr>
        <w:t>)</w:t>
      </w:r>
      <w:proofErr w:type="gramEnd"/>
      <w:r>
        <w:rPr>
          <w:rFonts w:ascii="Arial" w:hAnsi="Arial" w:cs="Arial"/>
          <w:sz w:val="22"/>
          <w:szCs w:val="22"/>
        </w:rPr>
        <w:t xml:space="preserve"> and one hole was drilled at the northern end of the West Pit (25</w:t>
      </w:r>
      <w:r w:rsidR="00465D02">
        <w:rPr>
          <w:rFonts w:ascii="Arial" w:hAnsi="Arial" w:cs="Arial"/>
          <w:sz w:val="22"/>
          <w:szCs w:val="22"/>
        </w:rPr>
        <w:t>MN</w:t>
      </w:r>
      <w:r>
        <w:rPr>
          <w:rFonts w:ascii="Arial" w:hAnsi="Arial" w:cs="Arial"/>
          <w:sz w:val="22"/>
          <w:szCs w:val="22"/>
        </w:rPr>
        <w:t>-031). One exploration hole was drilled between the Reliance Trend and Mustang Hill, 25</w:t>
      </w:r>
      <w:r w:rsidR="00465D02">
        <w:rPr>
          <w:rFonts w:ascii="Arial" w:hAnsi="Arial" w:cs="Arial"/>
          <w:sz w:val="22"/>
          <w:szCs w:val="22"/>
        </w:rPr>
        <w:t>MN</w:t>
      </w:r>
      <w:r>
        <w:rPr>
          <w:rFonts w:ascii="Arial" w:hAnsi="Arial" w:cs="Arial"/>
          <w:sz w:val="22"/>
          <w:szCs w:val="22"/>
        </w:rPr>
        <w:t xml:space="preserve">-029. </w:t>
      </w:r>
      <w:r w:rsidR="00E7698C" w:rsidRPr="00E7698C">
        <w:rPr>
          <w:rFonts w:ascii="Arial" w:hAnsi="Arial" w:cs="Arial"/>
          <w:sz w:val="22"/>
          <w:szCs w:val="22"/>
        </w:rPr>
        <w:t>Generally</w:t>
      </w:r>
      <w:r>
        <w:rPr>
          <w:rFonts w:ascii="Arial" w:hAnsi="Arial" w:cs="Arial"/>
          <w:sz w:val="22"/>
          <w:szCs w:val="22"/>
        </w:rPr>
        <w:t>,</w:t>
      </w:r>
      <w:r w:rsidR="00E7698C" w:rsidRPr="00E7698C">
        <w:rPr>
          <w:rFonts w:ascii="Arial" w:hAnsi="Arial" w:cs="Arial"/>
          <w:sz w:val="22"/>
          <w:szCs w:val="22"/>
        </w:rPr>
        <w:t xml:space="preserve"> </w:t>
      </w:r>
      <w:r w:rsidR="00E7698C" w:rsidRPr="00342A5A">
        <w:rPr>
          <w:rFonts w:ascii="Arial" w:hAnsi="Arial" w:cs="Arial"/>
          <w:sz w:val="22"/>
          <w:szCs w:val="22"/>
        </w:rPr>
        <w:t xml:space="preserve">holes tested laterally and below the </w:t>
      </w:r>
      <w:r w:rsidR="00E7698C" w:rsidRPr="00342A5A">
        <w:rPr>
          <w:rFonts w:ascii="Arial" w:hAnsi="Arial" w:cs="Arial"/>
          <w:b/>
          <w:bCs/>
          <w:sz w:val="22"/>
          <w:szCs w:val="22"/>
        </w:rPr>
        <w:t>Inferred Resource Constraining Pit</w:t>
      </w:r>
      <w:r w:rsidR="00E7698C" w:rsidRPr="00342A5A">
        <w:rPr>
          <w:rFonts w:ascii="Arial" w:hAnsi="Arial" w:cs="Arial"/>
          <w:sz w:val="22"/>
          <w:szCs w:val="22"/>
        </w:rPr>
        <w:t xml:space="preserve">, modelled at a gold price of US$2,500 and a </w:t>
      </w:r>
      <w:r w:rsidR="00E7698C" w:rsidRPr="00342A5A">
        <w:rPr>
          <w:rFonts w:ascii="Arial" w:hAnsi="Arial" w:cs="Arial"/>
          <w:sz w:val="22"/>
          <w:szCs w:val="22"/>
          <w:lang w:val="en-US"/>
        </w:rPr>
        <w:t xml:space="preserve">0.3 g/t gold only cutoff grade </w:t>
      </w:r>
      <w:r w:rsidR="00E7698C" w:rsidRPr="00342A5A">
        <w:rPr>
          <w:rFonts w:ascii="Arial" w:hAnsi="Arial" w:cs="Arial"/>
          <w:sz w:val="22"/>
          <w:szCs w:val="22"/>
        </w:rPr>
        <w:t>(</w:t>
      </w:r>
      <w:r w:rsidR="00E7698C" w:rsidRPr="00342A5A">
        <w:rPr>
          <w:rFonts w:ascii="Arial" w:hAnsi="Arial" w:cs="Arial"/>
          <w:b/>
          <w:bCs/>
          <w:sz w:val="22"/>
          <w:szCs w:val="22"/>
        </w:rPr>
        <w:t>“IRCP”</w:t>
      </w:r>
      <w:r w:rsidR="00E7698C" w:rsidRPr="00342A5A">
        <w:rPr>
          <w:rFonts w:ascii="Arial" w:hAnsi="Arial" w:cs="Arial"/>
          <w:sz w:val="22"/>
          <w:szCs w:val="22"/>
        </w:rPr>
        <w:t xml:space="preserve">), and including other inputs including: </w:t>
      </w:r>
      <w:r w:rsidR="00E7698C" w:rsidRPr="00342A5A">
        <w:rPr>
          <w:rFonts w:ascii="Arial" w:hAnsi="Arial" w:cs="Arial"/>
          <w:sz w:val="22"/>
          <w:szCs w:val="22"/>
          <w:lang w:val="en-US"/>
        </w:rPr>
        <w:t xml:space="preserve">mill recovery of 90%, 50 degree pit slope angle for in-situ rock, mining costs of $3.00 per </w:t>
      </w:r>
      <w:proofErr w:type="spellStart"/>
      <w:r w:rsidR="00E7698C" w:rsidRPr="00342A5A">
        <w:rPr>
          <w:rFonts w:ascii="Arial" w:hAnsi="Arial" w:cs="Arial"/>
          <w:sz w:val="22"/>
          <w:szCs w:val="22"/>
          <w:lang w:val="en-US"/>
        </w:rPr>
        <w:t>tonne</w:t>
      </w:r>
      <w:proofErr w:type="spellEnd"/>
      <w:r w:rsidR="00E7698C" w:rsidRPr="00342A5A">
        <w:rPr>
          <w:rFonts w:ascii="Arial" w:hAnsi="Arial" w:cs="Arial"/>
          <w:sz w:val="22"/>
          <w:szCs w:val="22"/>
          <w:lang w:val="en-US"/>
        </w:rPr>
        <w:t xml:space="preserve"> for both ore and waste, milling costs of $15.00 per </w:t>
      </w:r>
      <w:proofErr w:type="spellStart"/>
      <w:r w:rsidR="00E7698C" w:rsidRPr="00342A5A">
        <w:rPr>
          <w:rFonts w:ascii="Arial" w:hAnsi="Arial" w:cs="Arial"/>
          <w:sz w:val="22"/>
          <w:szCs w:val="22"/>
          <w:lang w:val="en-US"/>
        </w:rPr>
        <w:t>tonne</w:t>
      </w:r>
      <w:proofErr w:type="spellEnd"/>
      <w:r w:rsidR="00E7698C" w:rsidRPr="00342A5A">
        <w:rPr>
          <w:rFonts w:ascii="Arial" w:hAnsi="Arial" w:cs="Arial"/>
          <w:sz w:val="22"/>
          <w:szCs w:val="22"/>
          <w:lang w:val="en-US"/>
        </w:rPr>
        <w:t xml:space="preserve"> processed, general administration cost of $3.50 per </w:t>
      </w:r>
      <w:proofErr w:type="spellStart"/>
      <w:r w:rsidR="00E7698C" w:rsidRPr="00342A5A">
        <w:rPr>
          <w:rFonts w:ascii="Arial" w:hAnsi="Arial" w:cs="Arial"/>
          <w:sz w:val="22"/>
          <w:szCs w:val="22"/>
          <w:lang w:val="en-US"/>
        </w:rPr>
        <w:t>tonne</w:t>
      </w:r>
      <w:proofErr w:type="spellEnd"/>
      <w:r w:rsidR="00E7698C" w:rsidRPr="00342A5A">
        <w:rPr>
          <w:rFonts w:ascii="Arial" w:hAnsi="Arial" w:cs="Arial"/>
          <w:sz w:val="22"/>
          <w:szCs w:val="22"/>
          <w:lang w:val="en-US"/>
        </w:rPr>
        <w:t xml:space="preserve"> processed and 2% royalty costs, and ore loss and dilution not applied. For further details see </w:t>
      </w:r>
      <w:r w:rsidR="00E7698C" w:rsidRPr="00342A5A">
        <w:rPr>
          <w:rFonts w:ascii="Arial" w:hAnsi="Arial" w:cs="Arial"/>
          <w:sz w:val="22"/>
          <w:szCs w:val="22"/>
        </w:rPr>
        <w:t>see “Mineral Resource Estimate and NI 43-101 Technical Report, Manhattan Property, Nye County, Nevada” with an effective date of June 4, 2025 on Scorpio Gold’s website, </w:t>
      </w:r>
      <w:hyperlink r:id="rId13" w:history="1">
        <w:r w:rsidR="00E7698C" w:rsidRPr="00342A5A">
          <w:rPr>
            <w:rStyle w:val="Hyperlink"/>
            <w:rFonts w:ascii="Arial" w:hAnsi="Arial" w:cs="Arial"/>
            <w:sz w:val="22"/>
            <w:szCs w:val="22"/>
          </w:rPr>
          <w:t>here</w:t>
        </w:r>
      </w:hyperlink>
      <w:r w:rsidR="00E7698C" w:rsidRPr="00342A5A">
        <w:rPr>
          <w:rFonts w:ascii="Arial" w:hAnsi="Arial" w:cs="Arial"/>
          <w:sz w:val="22"/>
          <w:szCs w:val="22"/>
        </w:rPr>
        <w:t>.</w:t>
      </w:r>
      <w:r w:rsidR="00E7698C">
        <w:rPr>
          <w:lang w:val="en-US"/>
        </w:rPr>
        <w:t xml:space="preserve"> </w:t>
      </w:r>
    </w:p>
    <w:p w14:paraId="540442A9" w14:textId="197F48DE" w:rsidR="009A69F4" w:rsidRPr="005E627F" w:rsidRDefault="00613D3F" w:rsidP="00B028C3">
      <w:pPr>
        <w:pStyle w:val="p1"/>
        <w:jc w:val="both"/>
        <w:rPr>
          <w:rFonts w:ascii="Arial" w:hAnsi="Arial" w:cs="Arial"/>
          <w:sz w:val="22"/>
          <w:szCs w:val="22"/>
          <w:lang w:val="en-US"/>
        </w:rPr>
      </w:pPr>
      <w:r w:rsidRPr="005E627F">
        <w:rPr>
          <w:rFonts w:ascii="Arial" w:hAnsi="Arial" w:cs="Arial"/>
          <w:sz w:val="22"/>
          <w:szCs w:val="22"/>
          <w:lang w:val="en-US"/>
        </w:rPr>
        <w:t>Intervals returning weighted average grades of more than 1 g/t gold are hosted in structural feeder zones and, in 25</w:t>
      </w:r>
      <w:r w:rsidR="00E838EE">
        <w:rPr>
          <w:rFonts w:ascii="Arial" w:hAnsi="Arial" w:cs="Arial"/>
          <w:sz w:val="22"/>
          <w:szCs w:val="22"/>
          <w:lang w:val="en-US"/>
        </w:rPr>
        <w:t>MN</w:t>
      </w:r>
      <w:r w:rsidRPr="005E627F">
        <w:rPr>
          <w:rFonts w:ascii="Arial" w:hAnsi="Arial" w:cs="Arial"/>
          <w:sz w:val="22"/>
          <w:szCs w:val="22"/>
          <w:lang w:val="en-US"/>
        </w:rPr>
        <w:t xml:space="preserve">-028 at a lithological contact at the base of a limestone unit. Some of these structures, such as the Reliance Fault/Trend and the Brougher Fault have been previously mapped, and other structures have been newly recognized in drilling and </w:t>
      </w:r>
      <w:proofErr w:type="gramStart"/>
      <w:r w:rsidRPr="005E627F">
        <w:rPr>
          <w:rFonts w:ascii="Arial" w:hAnsi="Arial" w:cs="Arial"/>
          <w:sz w:val="22"/>
          <w:szCs w:val="22"/>
          <w:lang w:val="en-US"/>
        </w:rPr>
        <w:t>outcrop</w:t>
      </w:r>
      <w:proofErr w:type="gramEnd"/>
      <w:r w:rsidRPr="005E627F">
        <w:rPr>
          <w:rFonts w:ascii="Arial" w:hAnsi="Arial" w:cs="Arial"/>
          <w:sz w:val="22"/>
          <w:szCs w:val="22"/>
          <w:lang w:val="en-US"/>
        </w:rPr>
        <w:t xml:space="preserve">. Lower grade mineralization occurs in receptive argillites and phyllites </w:t>
      </w:r>
      <w:r w:rsidRPr="005E627F">
        <w:rPr>
          <w:rFonts w:ascii="Arial" w:hAnsi="Arial" w:cs="Arial"/>
          <w:sz w:val="22"/>
          <w:szCs w:val="22"/>
          <w:lang w:val="en-US"/>
        </w:rPr>
        <w:lastRenderedPageBreak/>
        <w:t xml:space="preserve">(collectively, fine grained </w:t>
      </w:r>
      <w:proofErr w:type="spellStart"/>
      <w:r w:rsidRPr="005E627F">
        <w:rPr>
          <w:rFonts w:ascii="Arial" w:hAnsi="Arial" w:cs="Arial"/>
          <w:sz w:val="22"/>
          <w:szCs w:val="22"/>
          <w:lang w:val="en-US"/>
        </w:rPr>
        <w:t>clastics</w:t>
      </w:r>
      <w:proofErr w:type="spellEnd"/>
      <w:r w:rsidRPr="005E627F">
        <w:rPr>
          <w:rFonts w:ascii="Arial" w:hAnsi="Arial" w:cs="Arial"/>
          <w:sz w:val="22"/>
          <w:szCs w:val="22"/>
          <w:lang w:val="en-US"/>
        </w:rPr>
        <w:t>), most likely with</w:t>
      </w:r>
      <w:r w:rsidR="005B3162" w:rsidRPr="005E627F">
        <w:rPr>
          <w:rFonts w:ascii="Arial" w:hAnsi="Arial" w:cs="Arial"/>
          <w:sz w:val="22"/>
          <w:szCs w:val="22"/>
          <w:lang w:val="en-US"/>
        </w:rPr>
        <w:t>in</w:t>
      </w:r>
      <w:r w:rsidRPr="005E627F">
        <w:rPr>
          <w:rFonts w:ascii="Arial" w:hAnsi="Arial" w:cs="Arial"/>
          <w:sz w:val="22"/>
          <w:szCs w:val="22"/>
          <w:lang w:val="en-US"/>
        </w:rPr>
        <w:t xml:space="preserve"> mineralized envelopes around such structures. These </w:t>
      </w:r>
      <w:r w:rsidR="007B1C97" w:rsidRPr="005E627F">
        <w:rPr>
          <w:rFonts w:ascii="Arial" w:hAnsi="Arial" w:cs="Arial"/>
          <w:sz w:val="22"/>
          <w:szCs w:val="22"/>
          <w:lang w:val="en-US"/>
        </w:rPr>
        <w:t>mineralization</w:t>
      </w:r>
      <w:r w:rsidRPr="005E627F">
        <w:rPr>
          <w:rFonts w:ascii="Arial" w:hAnsi="Arial" w:cs="Arial"/>
          <w:sz w:val="22"/>
          <w:szCs w:val="22"/>
          <w:lang w:val="en-US"/>
        </w:rPr>
        <w:t xml:space="preserve"> styles are consistent with the Company’s existing geological model.</w:t>
      </w:r>
    </w:p>
    <w:p w14:paraId="4D90CFC8" w14:textId="53BFCCBB" w:rsidR="00547C8D" w:rsidRPr="00E7698C" w:rsidRDefault="00C34FCD" w:rsidP="00E7698C">
      <w:pPr>
        <w:pStyle w:val="p1"/>
        <w:jc w:val="both"/>
        <w:rPr>
          <w:rFonts w:ascii="Arial" w:hAnsi="Arial" w:cs="Arial"/>
          <w:sz w:val="22"/>
          <w:szCs w:val="22"/>
          <w:highlight w:val="yellow"/>
        </w:rPr>
      </w:pPr>
      <w:r w:rsidRPr="00C34FCD">
        <w:rPr>
          <w:rFonts w:ascii="Arial" w:hAnsi="Arial" w:cs="Arial"/>
          <w:noProof/>
          <w:sz w:val="22"/>
          <w:szCs w:val="22"/>
        </w:rPr>
        <w:drawing>
          <wp:inline distT="0" distB="0" distL="0" distR="0" wp14:anchorId="001DF436" wp14:editId="00E408E1">
            <wp:extent cx="6858000" cy="6153785"/>
            <wp:effectExtent l="19050" t="19050" r="19050" b="18415"/>
            <wp:docPr id="625479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79678" name=""/>
                    <pic:cNvPicPr/>
                  </pic:nvPicPr>
                  <pic:blipFill>
                    <a:blip r:embed="rId14"/>
                    <a:stretch>
                      <a:fillRect/>
                    </a:stretch>
                  </pic:blipFill>
                  <pic:spPr>
                    <a:xfrm>
                      <a:off x="0" y="0"/>
                      <a:ext cx="6858000" cy="6153785"/>
                    </a:xfrm>
                    <a:prstGeom prst="rect">
                      <a:avLst/>
                    </a:prstGeom>
                    <a:ln>
                      <a:solidFill>
                        <a:schemeClr val="tx1"/>
                      </a:solidFill>
                    </a:ln>
                  </pic:spPr>
                </pic:pic>
              </a:graphicData>
            </a:graphic>
          </wp:inline>
        </w:drawing>
      </w:r>
    </w:p>
    <w:p w14:paraId="15FDC3B3" w14:textId="4E7ACE25" w:rsidR="00547C8D" w:rsidRPr="00342A5A" w:rsidRDefault="00B9514A" w:rsidP="007B1C97">
      <w:pPr>
        <w:spacing w:line="240" w:lineRule="auto"/>
        <w:jc w:val="center"/>
        <w:rPr>
          <w:b/>
          <w:bCs/>
        </w:rPr>
      </w:pPr>
      <w:r w:rsidRPr="00342A5A">
        <w:rPr>
          <w:b/>
          <w:bCs/>
        </w:rPr>
        <w:t xml:space="preserve">Figure 1. </w:t>
      </w:r>
      <w:r w:rsidR="00C34FCD" w:rsidRPr="00342A5A">
        <w:rPr>
          <w:b/>
          <w:bCs/>
        </w:rPr>
        <w:t xml:space="preserve">Surface Plan Map of Drill results over 2025 MRE </w:t>
      </w:r>
      <w:r w:rsidR="00354D68" w:rsidRPr="00342A5A">
        <w:rPr>
          <w:b/>
          <w:bCs/>
        </w:rPr>
        <w:t>B</w:t>
      </w:r>
      <w:r w:rsidR="00C34FCD" w:rsidRPr="00342A5A">
        <w:rPr>
          <w:b/>
          <w:bCs/>
        </w:rPr>
        <w:t>lock Model</w:t>
      </w:r>
      <w:r w:rsidR="00354D68" w:rsidRPr="00342A5A">
        <w:rPr>
          <w:b/>
          <w:bCs/>
        </w:rPr>
        <w:t>.</w:t>
      </w:r>
    </w:p>
    <w:p w14:paraId="7C008F20" w14:textId="77777777" w:rsidR="00D026AB" w:rsidRPr="00D10B14" w:rsidRDefault="00D026AB" w:rsidP="00AF4C09">
      <w:pPr>
        <w:spacing w:line="240" w:lineRule="auto"/>
        <w:jc w:val="both"/>
        <w:rPr>
          <w:b/>
          <w:bCs/>
          <w:highlight w:val="yellow"/>
        </w:rPr>
      </w:pPr>
    </w:p>
    <w:tbl>
      <w:tblPr>
        <w:tblW w:w="10760" w:type="dxa"/>
        <w:tblLook w:val="04A0" w:firstRow="1" w:lastRow="0" w:firstColumn="1" w:lastColumn="0" w:noHBand="0" w:noVBand="1"/>
      </w:tblPr>
      <w:tblGrid>
        <w:gridCol w:w="1908"/>
        <w:gridCol w:w="1836"/>
        <w:gridCol w:w="1756"/>
        <w:gridCol w:w="1756"/>
        <w:gridCol w:w="1756"/>
        <w:gridCol w:w="1748"/>
      </w:tblGrid>
      <w:tr w:rsidR="00D10B14" w:rsidRPr="00D10B14" w14:paraId="75E2C754" w14:textId="77777777" w:rsidTr="00D10B14">
        <w:trPr>
          <w:trHeight w:val="620"/>
        </w:trPr>
        <w:tc>
          <w:tcPr>
            <w:tcW w:w="1908" w:type="dxa"/>
            <w:tcBorders>
              <w:top w:val="single" w:sz="8" w:space="0" w:color="auto"/>
              <w:left w:val="single" w:sz="8" w:space="0" w:color="auto"/>
              <w:bottom w:val="nil"/>
              <w:right w:val="nil"/>
            </w:tcBorders>
            <w:shd w:val="clear" w:color="000000" w:fill="D9D9D9"/>
            <w:noWrap/>
            <w:vAlign w:val="center"/>
            <w:hideMark/>
          </w:tcPr>
          <w:p w14:paraId="372C1426" w14:textId="77777777" w:rsid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Drill Hole ID</w:t>
            </w:r>
          </w:p>
          <w:p w14:paraId="149A5F18" w14:textId="64A8955D" w:rsidR="00613D3F" w:rsidRPr="00D10B14" w:rsidRDefault="00613D3F" w:rsidP="00D10B14">
            <w:pPr>
              <w:spacing w:line="240" w:lineRule="auto"/>
              <w:jc w:val="center"/>
              <w:rPr>
                <w:rFonts w:eastAsia="Times New Roman"/>
                <w:b/>
                <w:bCs/>
                <w:color w:val="000000"/>
                <w:lang w:eastAsia="en-US"/>
              </w:rPr>
            </w:pPr>
            <w:r>
              <w:rPr>
                <w:rFonts w:eastAsia="Times New Roman"/>
                <w:b/>
                <w:bCs/>
                <w:color w:val="000000"/>
                <w:lang w:eastAsia="en-US"/>
              </w:rPr>
              <w:t>Final depth (m)</w:t>
            </w:r>
          </w:p>
        </w:tc>
        <w:tc>
          <w:tcPr>
            <w:tcW w:w="1836" w:type="dxa"/>
            <w:tcBorders>
              <w:top w:val="single" w:sz="8" w:space="0" w:color="auto"/>
              <w:left w:val="nil"/>
              <w:bottom w:val="nil"/>
              <w:right w:val="nil"/>
            </w:tcBorders>
            <w:shd w:val="clear" w:color="000000" w:fill="D9D9D9"/>
            <w:vAlign w:val="center"/>
            <w:hideMark/>
          </w:tcPr>
          <w:p w14:paraId="013ED5CB" w14:textId="77777777" w:rsidR="00D10B14" w:rsidRP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Target</w:t>
            </w:r>
            <w:r w:rsidRPr="00D10B14">
              <w:rPr>
                <w:rFonts w:eastAsia="Times New Roman"/>
                <w:b/>
                <w:bCs/>
                <w:color w:val="000000"/>
                <w:lang w:eastAsia="en-US"/>
              </w:rPr>
              <w:br/>
              <w:t>Azimuth / Dip</w:t>
            </w:r>
          </w:p>
        </w:tc>
        <w:tc>
          <w:tcPr>
            <w:tcW w:w="1756" w:type="dxa"/>
            <w:tcBorders>
              <w:top w:val="single" w:sz="8" w:space="0" w:color="auto"/>
              <w:left w:val="nil"/>
              <w:bottom w:val="nil"/>
              <w:right w:val="nil"/>
            </w:tcBorders>
            <w:shd w:val="clear" w:color="000000" w:fill="D9D9D9"/>
            <w:noWrap/>
            <w:vAlign w:val="center"/>
            <w:hideMark/>
          </w:tcPr>
          <w:p w14:paraId="629C7774" w14:textId="77777777" w:rsidR="00D10B14" w:rsidRP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From (m)</w:t>
            </w:r>
          </w:p>
        </w:tc>
        <w:tc>
          <w:tcPr>
            <w:tcW w:w="1756" w:type="dxa"/>
            <w:tcBorders>
              <w:top w:val="single" w:sz="8" w:space="0" w:color="auto"/>
              <w:left w:val="nil"/>
              <w:bottom w:val="nil"/>
              <w:right w:val="nil"/>
            </w:tcBorders>
            <w:shd w:val="clear" w:color="000000" w:fill="D9D9D9"/>
            <w:noWrap/>
            <w:vAlign w:val="center"/>
            <w:hideMark/>
          </w:tcPr>
          <w:p w14:paraId="279F8B83" w14:textId="77777777" w:rsidR="00D10B14" w:rsidRP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To (m)</w:t>
            </w:r>
          </w:p>
        </w:tc>
        <w:tc>
          <w:tcPr>
            <w:tcW w:w="1756" w:type="dxa"/>
            <w:tcBorders>
              <w:top w:val="single" w:sz="8" w:space="0" w:color="auto"/>
              <w:left w:val="nil"/>
              <w:bottom w:val="nil"/>
              <w:right w:val="nil"/>
            </w:tcBorders>
            <w:shd w:val="clear" w:color="000000" w:fill="D9D9D9"/>
            <w:noWrap/>
            <w:vAlign w:val="center"/>
            <w:hideMark/>
          </w:tcPr>
          <w:p w14:paraId="2EB7F4E3" w14:textId="77777777" w:rsidR="00D10B14" w:rsidRP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Intercept¹ (m)</w:t>
            </w:r>
          </w:p>
        </w:tc>
        <w:tc>
          <w:tcPr>
            <w:tcW w:w="1748" w:type="dxa"/>
            <w:tcBorders>
              <w:top w:val="single" w:sz="8" w:space="0" w:color="auto"/>
              <w:left w:val="nil"/>
              <w:bottom w:val="nil"/>
              <w:right w:val="single" w:sz="8" w:space="0" w:color="auto"/>
            </w:tcBorders>
            <w:shd w:val="clear" w:color="000000" w:fill="D9D9D9"/>
            <w:noWrap/>
            <w:vAlign w:val="center"/>
            <w:hideMark/>
          </w:tcPr>
          <w:p w14:paraId="623A6933" w14:textId="77777777" w:rsidR="00D10B14" w:rsidRPr="00D10B14" w:rsidRDefault="00D10B14" w:rsidP="00D10B14">
            <w:pPr>
              <w:spacing w:line="240" w:lineRule="auto"/>
              <w:jc w:val="center"/>
              <w:rPr>
                <w:rFonts w:eastAsia="Times New Roman"/>
                <w:b/>
                <w:bCs/>
                <w:color w:val="000000"/>
                <w:lang w:eastAsia="en-US"/>
              </w:rPr>
            </w:pPr>
            <w:r w:rsidRPr="00D10B14">
              <w:rPr>
                <w:rFonts w:eastAsia="Times New Roman"/>
                <w:b/>
                <w:bCs/>
                <w:color w:val="000000"/>
                <w:lang w:eastAsia="en-US"/>
              </w:rPr>
              <w:t>Gold (g/t)</w:t>
            </w:r>
          </w:p>
        </w:tc>
      </w:tr>
      <w:tr w:rsidR="00D10B14" w:rsidRPr="00D10B14" w14:paraId="5E9C3B18" w14:textId="77777777" w:rsidTr="00D10B14">
        <w:trPr>
          <w:trHeight w:val="300"/>
        </w:trPr>
        <w:tc>
          <w:tcPr>
            <w:tcW w:w="1908" w:type="dxa"/>
            <w:tcBorders>
              <w:top w:val="single" w:sz="8" w:space="0" w:color="auto"/>
              <w:left w:val="single" w:sz="8" w:space="0" w:color="auto"/>
              <w:bottom w:val="nil"/>
              <w:right w:val="nil"/>
            </w:tcBorders>
            <w:noWrap/>
            <w:vAlign w:val="center"/>
            <w:hideMark/>
          </w:tcPr>
          <w:p w14:paraId="1805E0BF" w14:textId="4241B958" w:rsidR="00613D3F" w:rsidRPr="00D10B14" w:rsidRDefault="00D10B14" w:rsidP="00613D3F">
            <w:pPr>
              <w:spacing w:line="240" w:lineRule="auto"/>
              <w:jc w:val="center"/>
              <w:rPr>
                <w:rFonts w:eastAsia="Times New Roman"/>
                <w:color w:val="000000"/>
                <w:lang w:eastAsia="en-US"/>
              </w:rPr>
            </w:pPr>
            <w:r w:rsidRPr="00D10B14">
              <w:rPr>
                <w:rFonts w:eastAsia="Times New Roman"/>
                <w:color w:val="000000"/>
                <w:lang w:eastAsia="en-US"/>
              </w:rPr>
              <w:t>25MN-027</w:t>
            </w:r>
          </w:p>
        </w:tc>
        <w:tc>
          <w:tcPr>
            <w:tcW w:w="1836" w:type="dxa"/>
            <w:tcBorders>
              <w:top w:val="single" w:sz="8" w:space="0" w:color="auto"/>
              <w:left w:val="nil"/>
              <w:bottom w:val="nil"/>
              <w:right w:val="nil"/>
            </w:tcBorders>
            <w:noWrap/>
            <w:vAlign w:val="center"/>
            <w:hideMark/>
          </w:tcPr>
          <w:p w14:paraId="348BC333"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Reliance Trend</w:t>
            </w:r>
          </w:p>
        </w:tc>
        <w:tc>
          <w:tcPr>
            <w:tcW w:w="1756" w:type="dxa"/>
            <w:tcBorders>
              <w:top w:val="single" w:sz="8" w:space="0" w:color="auto"/>
              <w:left w:val="nil"/>
              <w:bottom w:val="nil"/>
              <w:right w:val="nil"/>
            </w:tcBorders>
            <w:noWrap/>
            <w:vAlign w:val="center"/>
            <w:hideMark/>
          </w:tcPr>
          <w:p w14:paraId="70CC3DC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104.85</w:t>
            </w:r>
          </w:p>
        </w:tc>
        <w:tc>
          <w:tcPr>
            <w:tcW w:w="1756" w:type="dxa"/>
            <w:tcBorders>
              <w:top w:val="single" w:sz="8" w:space="0" w:color="auto"/>
              <w:left w:val="nil"/>
              <w:bottom w:val="nil"/>
              <w:right w:val="nil"/>
            </w:tcBorders>
            <w:noWrap/>
            <w:vAlign w:val="center"/>
            <w:hideMark/>
          </w:tcPr>
          <w:p w14:paraId="666A518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108.63</w:t>
            </w:r>
          </w:p>
        </w:tc>
        <w:tc>
          <w:tcPr>
            <w:tcW w:w="1756" w:type="dxa"/>
            <w:tcBorders>
              <w:top w:val="single" w:sz="8" w:space="0" w:color="auto"/>
              <w:left w:val="nil"/>
              <w:bottom w:val="nil"/>
              <w:right w:val="nil"/>
            </w:tcBorders>
            <w:noWrap/>
            <w:vAlign w:val="center"/>
            <w:hideMark/>
          </w:tcPr>
          <w:p w14:paraId="17C7AE3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3.78</w:t>
            </w:r>
          </w:p>
        </w:tc>
        <w:tc>
          <w:tcPr>
            <w:tcW w:w="1748" w:type="dxa"/>
            <w:tcBorders>
              <w:top w:val="single" w:sz="8" w:space="0" w:color="auto"/>
              <w:left w:val="nil"/>
              <w:bottom w:val="nil"/>
              <w:right w:val="single" w:sz="8" w:space="0" w:color="auto"/>
            </w:tcBorders>
            <w:noWrap/>
            <w:vAlign w:val="center"/>
            <w:hideMark/>
          </w:tcPr>
          <w:p w14:paraId="6272866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0.38</w:t>
            </w:r>
          </w:p>
        </w:tc>
      </w:tr>
      <w:tr w:rsidR="00D10B14" w:rsidRPr="00D10B14" w14:paraId="60994179" w14:textId="77777777" w:rsidTr="00D10B14">
        <w:trPr>
          <w:trHeight w:val="300"/>
        </w:trPr>
        <w:tc>
          <w:tcPr>
            <w:tcW w:w="1908" w:type="dxa"/>
            <w:tcBorders>
              <w:top w:val="nil"/>
              <w:left w:val="single" w:sz="8" w:space="0" w:color="auto"/>
              <w:bottom w:val="nil"/>
              <w:right w:val="nil"/>
            </w:tcBorders>
            <w:noWrap/>
            <w:vAlign w:val="center"/>
            <w:hideMark/>
          </w:tcPr>
          <w:p w14:paraId="2A9401B4" w14:textId="39B2B25D"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eastAsia="Times New Roman"/>
                <w:color w:val="000000"/>
                <w:lang w:eastAsia="en-US"/>
              </w:rPr>
              <w:t> </w:t>
            </w:r>
            <w:r w:rsidR="00613D3F" w:rsidRPr="00613D3F">
              <w:rPr>
                <w:rFonts w:eastAsia="Times New Roman"/>
                <w:color w:val="000000"/>
                <w:lang w:eastAsia="en-US"/>
              </w:rPr>
              <w:t>377.04</w:t>
            </w:r>
          </w:p>
        </w:tc>
        <w:tc>
          <w:tcPr>
            <w:tcW w:w="1836" w:type="dxa"/>
            <w:tcBorders>
              <w:top w:val="nil"/>
              <w:left w:val="nil"/>
              <w:bottom w:val="nil"/>
              <w:right w:val="nil"/>
            </w:tcBorders>
            <w:noWrap/>
            <w:vAlign w:val="center"/>
            <w:hideMark/>
          </w:tcPr>
          <w:p w14:paraId="0B122525"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240° / -75°</w:t>
            </w:r>
          </w:p>
        </w:tc>
        <w:tc>
          <w:tcPr>
            <w:tcW w:w="1756" w:type="dxa"/>
            <w:tcBorders>
              <w:top w:val="nil"/>
              <w:left w:val="nil"/>
              <w:bottom w:val="nil"/>
              <w:right w:val="nil"/>
            </w:tcBorders>
            <w:noWrap/>
            <w:vAlign w:val="center"/>
            <w:hideMark/>
          </w:tcPr>
          <w:p w14:paraId="5227AC3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118.41</w:t>
            </w:r>
          </w:p>
        </w:tc>
        <w:tc>
          <w:tcPr>
            <w:tcW w:w="1756" w:type="dxa"/>
            <w:tcBorders>
              <w:top w:val="nil"/>
              <w:left w:val="nil"/>
              <w:bottom w:val="nil"/>
              <w:right w:val="nil"/>
            </w:tcBorders>
            <w:noWrap/>
            <w:vAlign w:val="center"/>
            <w:hideMark/>
          </w:tcPr>
          <w:p w14:paraId="5707C26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123.83</w:t>
            </w:r>
          </w:p>
        </w:tc>
        <w:tc>
          <w:tcPr>
            <w:tcW w:w="1756" w:type="dxa"/>
            <w:tcBorders>
              <w:top w:val="nil"/>
              <w:left w:val="nil"/>
              <w:bottom w:val="nil"/>
              <w:right w:val="nil"/>
            </w:tcBorders>
            <w:noWrap/>
            <w:vAlign w:val="center"/>
            <w:hideMark/>
          </w:tcPr>
          <w:p w14:paraId="5FB8E6B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5.41</w:t>
            </w:r>
          </w:p>
        </w:tc>
        <w:tc>
          <w:tcPr>
            <w:tcW w:w="1748" w:type="dxa"/>
            <w:tcBorders>
              <w:top w:val="nil"/>
              <w:left w:val="nil"/>
              <w:bottom w:val="nil"/>
              <w:right w:val="single" w:sz="8" w:space="0" w:color="auto"/>
            </w:tcBorders>
            <w:noWrap/>
            <w:vAlign w:val="center"/>
            <w:hideMark/>
          </w:tcPr>
          <w:p w14:paraId="5378E94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0.25</w:t>
            </w:r>
          </w:p>
        </w:tc>
      </w:tr>
      <w:tr w:rsidR="00D10B14" w:rsidRPr="00D10B14" w14:paraId="034430C6" w14:textId="77777777" w:rsidTr="00D10B14">
        <w:trPr>
          <w:trHeight w:val="320"/>
        </w:trPr>
        <w:tc>
          <w:tcPr>
            <w:tcW w:w="1908" w:type="dxa"/>
            <w:tcBorders>
              <w:top w:val="nil"/>
              <w:left w:val="single" w:sz="8" w:space="0" w:color="auto"/>
              <w:bottom w:val="single" w:sz="8" w:space="0" w:color="auto"/>
              <w:right w:val="nil"/>
            </w:tcBorders>
            <w:noWrap/>
            <w:vAlign w:val="center"/>
            <w:hideMark/>
          </w:tcPr>
          <w:p w14:paraId="72719725"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 </w:t>
            </w:r>
          </w:p>
        </w:tc>
        <w:tc>
          <w:tcPr>
            <w:tcW w:w="1836" w:type="dxa"/>
            <w:tcBorders>
              <w:top w:val="nil"/>
              <w:left w:val="nil"/>
              <w:bottom w:val="single" w:sz="8" w:space="0" w:color="auto"/>
              <w:right w:val="nil"/>
            </w:tcBorders>
            <w:noWrap/>
            <w:vAlign w:val="center"/>
            <w:hideMark/>
          </w:tcPr>
          <w:p w14:paraId="0AC05EA1"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 </w:t>
            </w:r>
          </w:p>
        </w:tc>
        <w:tc>
          <w:tcPr>
            <w:tcW w:w="1756" w:type="dxa"/>
            <w:tcBorders>
              <w:top w:val="nil"/>
              <w:left w:val="nil"/>
              <w:bottom w:val="single" w:sz="8" w:space="0" w:color="auto"/>
              <w:right w:val="nil"/>
            </w:tcBorders>
            <w:noWrap/>
            <w:vAlign w:val="center"/>
            <w:hideMark/>
          </w:tcPr>
          <w:p w14:paraId="10FB077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131.06</w:t>
            </w:r>
          </w:p>
        </w:tc>
        <w:tc>
          <w:tcPr>
            <w:tcW w:w="1756" w:type="dxa"/>
            <w:tcBorders>
              <w:top w:val="nil"/>
              <w:left w:val="nil"/>
              <w:bottom w:val="single" w:sz="8" w:space="0" w:color="auto"/>
              <w:right w:val="nil"/>
            </w:tcBorders>
            <w:noWrap/>
            <w:vAlign w:val="center"/>
            <w:hideMark/>
          </w:tcPr>
          <w:p w14:paraId="0959B32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139.84</w:t>
            </w:r>
          </w:p>
        </w:tc>
        <w:tc>
          <w:tcPr>
            <w:tcW w:w="1756" w:type="dxa"/>
            <w:tcBorders>
              <w:top w:val="nil"/>
              <w:left w:val="nil"/>
              <w:bottom w:val="single" w:sz="8" w:space="0" w:color="auto"/>
              <w:right w:val="nil"/>
            </w:tcBorders>
            <w:noWrap/>
            <w:vAlign w:val="center"/>
            <w:hideMark/>
          </w:tcPr>
          <w:p w14:paraId="51399F2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8.78</w:t>
            </w:r>
          </w:p>
        </w:tc>
        <w:tc>
          <w:tcPr>
            <w:tcW w:w="1748" w:type="dxa"/>
            <w:tcBorders>
              <w:top w:val="nil"/>
              <w:left w:val="nil"/>
              <w:bottom w:val="single" w:sz="8" w:space="0" w:color="auto"/>
              <w:right w:val="single" w:sz="8" w:space="0" w:color="auto"/>
            </w:tcBorders>
            <w:noWrap/>
            <w:vAlign w:val="center"/>
            <w:hideMark/>
          </w:tcPr>
          <w:p w14:paraId="2A9A79ED"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0.52</w:t>
            </w:r>
          </w:p>
        </w:tc>
      </w:tr>
      <w:tr w:rsidR="00D10B14" w:rsidRPr="00D10B14" w14:paraId="61D814F0" w14:textId="77777777" w:rsidTr="00D10B14">
        <w:trPr>
          <w:trHeight w:val="300"/>
        </w:trPr>
        <w:tc>
          <w:tcPr>
            <w:tcW w:w="1908" w:type="dxa"/>
            <w:tcBorders>
              <w:top w:val="nil"/>
              <w:left w:val="single" w:sz="8" w:space="0" w:color="auto"/>
              <w:bottom w:val="nil"/>
              <w:right w:val="nil"/>
            </w:tcBorders>
            <w:noWrap/>
            <w:vAlign w:val="center"/>
            <w:hideMark/>
          </w:tcPr>
          <w:p w14:paraId="6A0FCDD4"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25MN-028</w:t>
            </w:r>
          </w:p>
        </w:tc>
        <w:tc>
          <w:tcPr>
            <w:tcW w:w="1836" w:type="dxa"/>
            <w:tcBorders>
              <w:top w:val="nil"/>
              <w:left w:val="nil"/>
              <w:bottom w:val="nil"/>
              <w:right w:val="nil"/>
            </w:tcBorders>
            <w:noWrap/>
            <w:vAlign w:val="center"/>
            <w:hideMark/>
          </w:tcPr>
          <w:p w14:paraId="7B583D2B"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Reliance Trend</w:t>
            </w:r>
          </w:p>
        </w:tc>
        <w:tc>
          <w:tcPr>
            <w:tcW w:w="1756" w:type="dxa"/>
            <w:tcBorders>
              <w:top w:val="nil"/>
              <w:left w:val="nil"/>
              <w:bottom w:val="nil"/>
              <w:right w:val="nil"/>
            </w:tcBorders>
            <w:noWrap/>
            <w:vAlign w:val="center"/>
            <w:hideMark/>
          </w:tcPr>
          <w:p w14:paraId="032F94D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153.68</w:t>
            </w:r>
          </w:p>
        </w:tc>
        <w:tc>
          <w:tcPr>
            <w:tcW w:w="1756" w:type="dxa"/>
            <w:tcBorders>
              <w:top w:val="nil"/>
              <w:left w:val="nil"/>
              <w:bottom w:val="nil"/>
              <w:right w:val="nil"/>
            </w:tcBorders>
            <w:noWrap/>
            <w:vAlign w:val="center"/>
            <w:hideMark/>
          </w:tcPr>
          <w:p w14:paraId="536D6CB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157.52</w:t>
            </w:r>
          </w:p>
        </w:tc>
        <w:tc>
          <w:tcPr>
            <w:tcW w:w="1756" w:type="dxa"/>
            <w:tcBorders>
              <w:top w:val="nil"/>
              <w:left w:val="nil"/>
              <w:bottom w:val="nil"/>
              <w:right w:val="nil"/>
            </w:tcBorders>
            <w:noWrap/>
            <w:vAlign w:val="center"/>
            <w:hideMark/>
          </w:tcPr>
          <w:p w14:paraId="27F1AC2A"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3.84</w:t>
            </w:r>
          </w:p>
        </w:tc>
        <w:tc>
          <w:tcPr>
            <w:tcW w:w="1748" w:type="dxa"/>
            <w:tcBorders>
              <w:top w:val="nil"/>
              <w:left w:val="nil"/>
              <w:bottom w:val="nil"/>
              <w:right w:val="single" w:sz="8" w:space="0" w:color="auto"/>
            </w:tcBorders>
            <w:noWrap/>
            <w:vAlign w:val="center"/>
            <w:hideMark/>
          </w:tcPr>
          <w:p w14:paraId="7D668A6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0.25</w:t>
            </w:r>
          </w:p>
        </w:tc>
      </w:tr>
      <w:tr w:rsidR="00D10B14" w:rsidRPr="00D10B14" w14:paraId="4FC5ECFE" w14:textId="77777777" w:rsidTr="00D10B14">
        <w:trPr>
          <w:trHeight w:val="300"/>
        </w:trPr>
        <w:tc>
          <w:tcPr>
            <w:tcW w:w="1908" w:type="dxa"/>
            <w:tcBorders>
              <w:top w:val="nil"/>
              <w:left w:val="single" w:sz="8" w:space="0" w:color="auto"/>
              <w:bottom w:val="nil"/>
              <w:right w:val="nil"/>
            </w:tcBorders>
            <w:noWrap/>
            <w:vAlign w:val="center"/>
            <w:hideMark/>
          </w:tcPr>
          <w:p w14:paraId="39A829B5" w14:textId="0DB8188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eastAsia="Times New Roman"/>
                <w:color w:val="000000"/>
                <w:lang w:eastAsia="en-US"/>
              </w:rPr>
              <w:t> </w:t>
            </w:r>
            <w:r w:rsidR="00613D3F" w:rsidRPr="00613D3F">
              <w:rPr>
                <w:rFonts w:eastAsia="Times New Roman"/>
                <w:color w:val="000000"/>
                <w:lang w:eastAsia="en-US"/>
              </w:rPr>
              <w:t>345.64</w:t>
            </w:r>
          </w:p>
        </w:tc>
        <w:tc>
          <w:tcPr>
            <w:tcW w:w="1836" w:type="dxa"/>
            <w:tcBorders>
              <w:top w:val="nil"/>
              <w:left w:val="nil"/>
              <w:bottom w:val="nil"/>
              <w:right w:val="nil"/>
            </w:tcBorders>
            <w:noWrap/>
            <w:vAlign w:val="center"/>
            <w:hideMark/>
          </w:tcPr>
          <w:p w14:paraId="0354DB86"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240° / -72°</w:t>
            </w:r>
          </w:p>
        </w:tc>
        <w:tc>
          <w:tcPr>
            <w:tcW w:w="1756" w:type="dxa"/>
            <w:tcBorders>
              <w:top w:val="nil"/>
              <w:left w:val="nil"/>
              <w:bottom w:val="nil"/>
              <w:right w:val="nil"/>
            </w:tcBorders>
            <w:noWrap/>
            <w:vAlign w:val="center"/>
            <w:hideMark/>
          </w:tcPr>
          <w:p w14:paraId="6976643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289.68</w:t>
            </w:r>
          </w:p>
        </w:tc>
        <w:tc>
          <w:tcPr>
            <w:tcW w:w="1756" w:type="dxa"/>
            <w:tcBorders>
              <w:top w:val="nil"/>
              <w:left w:val="nil"/>
              <w:bottom w:val="nil"/>
              <w:right w:val="nil"/>
            </w:tcBorders>
            <w:noWrap/>
            <w:vAlign w:val="center"/>
            <w:hideMark/>
          </w:tcPr>
          <w:p w14:paraId="7DEE94B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292.21</w:t>
            </w:r>
          </w:p>
        </w:tc>
        <w:tc>
          <w:tcPr>
            <w:tcW w:w="1756" w:type="dxa"/>
            <w:tcBorders>
              <w:top w:val="nil"/>
              <w:left w:val="nil"/>
              <w:bottom w:val="nil"/>
              <w:right w:val="nil"/>
            </w:tcBorders>
            <w:noWrap/>
            <w:vAlign w:val="center"/>
            <w:hideMark/>
          </w:tcPr>
          <w:p w14:paraId="44CB934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2.53</w:t>
            </w:r>
          </w:p>
        </w:tc>
        <w:tc>
          <w:tcPr>
            <w:tcW w:w="1748" w:type="dxa"/>
            <w:tcBorders>
              <w:top w:val="nil"/>
              <w:left w:val="nil"/>
              <w:bottom w:val="nil"/>
              <w:right w:val="single" w:sz="8" w:space="0" w:color="auto"/>
            </w:tcBorders>
            <w:noWrap/>
            <w:vAlign w:val="center"/>
            <w:hideMark/>
          </w:tcPr>
          <w:p w14:paraId="50DD2AF6"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2.71</w:t>
            </w:r>
          </w:p>
        </w:tc>
      </w:tr>
      <w:tr w:rsidR="00D10B14" w:rsidRPr="00D10B14" w14:paraId="4999DF4A" w14:textId="77777777" w:rsidTr="00D10B14">
        <w:trPr>
          <w:trHeight w:val="300"/>
        </w:trPr>
        <w:tc>
          <w:tcPr>
            <w:tcW w:w="1908" w:type="dxa"/>
            <w:tcBorders>
              <w:top w:val="nil"/>
              <w:left w:val="single" w:sz="8" w:space="0" w:color="auto"/>
              <w:bottom w:val="nil"/>
              <w:right w:val="nil"/>
            </w:tcBorders>
            <w:noWrap/>
            <w:vAlign w:val="center"/>
            <w:hideMark/>
          </w:tcPr>
          <w:p w14:paraId="7721AD01"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 </w:t>
            </w:r>
          </w:p>
        </w:tc>
        <w:tc>
          <w:tcPr>
            <w:tcW w:w="1836" w:type="dxa"/>
            <w:tcBorders>
              <w:top w:val="nil"/>
              <w:left w:val="nil"/>
              <w:bottom w:val="nil"/>
              <w:right w:val="nil"/>
            </w:tcBorders>
            <w:noWrap/>
            <w:vAlign w:val="center"/>
            <w:hideMark/>
          </w:tcPr>
          <w:p w14:paraId="61F6EC4F" w14:textId="77777777" w:rsidR="00D10B14" w:rsidRPr="00D10B14" w:rsidRDefault="00D10B14" w:rsidP="00D10B14">
            <w:pPr>
              <w:spacing w:line="240" w:lineRule="auto"/>
              <w:jc w:val="center"/>
              <w:rPr>
                <w:rFonts w:eastAsia="Times New Roman"/>
                <w:i/>
                <w:iCs/>
                <w:color w:val="000000"/>
                <w:lang w:eastAsia="en-US"/>
              </w:rPr>
            </w:pPr>
          </w:p>
        </w:tc>
        <w:tc>
          <w:tcPr>
            <w:tcW w:w="1756" w:type="dxa"/>
            <w:tcBorders>
              <w:top w:val="nil"/>
              <w:left w:val="nil"/>
              <w:bottom w:val="nil"/>
              <w:right w:val="nil"/>
            </w:tcBorders>
            <w:noWrap/>
            <w:vAlign w:val="center"/>
            <w:hideMark/>
          </w:tcPr>
          <w:p w14:paraId="58D4709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374.84</w:t>
            </w:r>
          </w:p>
        </w:tc>
        <w:tc>
          <w:tcPr>
            <w:tcW w:w="1756" w:type="dxa"/>
            <w:tcBorders>
              <w:top w:val="nil"/>
              <w:left w:val="nil"/>
              <w:bottom w:val="nil"/>
              <w:right w:val="nil"/>
            </w:tcBorders>
            <w:noWrap/>
            <w:vAlign w:val="center"/>
            <w:hideMark/>
          </w:tcPr>
          <w:p w14:paraId="68EFF4D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382.48</w:t>
            </w:r>
          </w:p>
        </w:tc>
        <w:tc>
          <w:tcPr>
            <w:tcW w:w="1756" w:type="dxa"/>
            <w:tcBorders>
              <w:top w:val="nil"/>
              <w:left w:val="nil"/>
              <w:bottom w:val="nil"/>
              <w:right w:val="nil"/>
            </w:tcBorders>
            <w:noWrap/>
            <w:vAlign w:val="center"/>
            <w:hideMark/>
          </w:tcPr>
          <w:p w14:paraId="588FFD5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7.64</w:t>
            </w:r>
          </w:p>
        </w:tc>
        <w:tc>
          <w:tcPr>
            <w:tcW w:w="1748" w:type="dxa"/>
            <w:tcBorders>
              <w:top w:val="nil"/>
              <w:left w:val="nil"/>
              <w:bottom w:val="nil"/>
              <w:right w:val="single" w:sz="8" w:space="0" w:color="auto"/>
            </w:tcBorders>
            <w:noWrap/>
            <w:vAlign w:val="center"/>
            <w:hideMark/>
          </w:tcPr>
          <w:p w14:paraId="26F6153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0.23</w:t>
            </w:r>
          </w:p>
        </w:tc>
      </w:tr>
      <w:tr w:rsidR="00D10B14" w:rsidRPr="00D10B14" w14:paraId="5E24C86D" w14:textId="77777777" w:rsidTr="00D10B14">
        <w:trPr>
          <w:trHeight w:val="320"/>
        </w:trPr>
        <w:tc>
          <w:tcPr>
            <w:tcW w:w="1908" w:type="dxa"/>
            <w:tcBorders>
              <w:top w:val="nil"/>
              <w:left w:val="single" w:sz="8" w:space="0" w:color="auto"/>
              <w:bottom w:val="single" w:sz="8" w:space="0" w:color="auto"/>
              <w:right w:val="nil"/>
            </w:tcBorders>
            <w:noWrap/>
            <w:vAlign w:val="center"/>
            <w:hideMark/>
          </w:tcPr>
          <w:p w14:paraId="2F17E5B6"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lastRenderedPageBreak/>
              <w:t> </w:t>
            </w:r>
          </w:p>
        </w:tc>
        <w:tc>
          <w:tcPr>
            <w:tcW w:w="1836" w:type="dxa"/>
            <w:tcBorders>
              <w:top w:val="nil"/>
              <w:left w:val="nil"/>
              <w:bottom w:val="single" w:sz="8" w:space="0" w:color="auto"/>
              <w:right w:val="nil"/>
            </w:tcBorders>
            <w:noWrap/>
            <w:vAlign w:val="center"/>
            <w:hideMark/>
          </w:tcPr>
          <w:p w14:paraId="42D44A1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756" w:type="dxa"/>
            <w:tcBorders>
              <w:top w:val="nil"/>
              <w:left w:val="nil"/>
              <w:bottom w:val="single" w:sz="8" w:space="0" w:color="auto"/>
              <w:right w:val="nil"/>
            </w:tcBorders>
            <w:noWrap/>
            <w:vAlign w:val="center"/>
            <w:hideMark/>
          </w:tcPr>
          <w:p w14:paraId="652A249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395.22</w:t>
            </w:r>
          </w:p>
        </w:tc>
        <w:tc>
          <w:tcPr>
            <w:tcW w:w="1756" w:type="dxa"/>
            <w:tcBorders>
              <w:top w:val="nil"/>
              <w:left w:val="nil"/>
              <w:bottom w:val="single" w:sz="8" w:space="0" w:color="auto"/>
              <w:right w:val="nil"/>
            </w:tcBorders>
            <w:noWrap/>
            <w:vAlign w:val="center"/>
            <w:hideMark/>
          </w:tcPr>
          <w:p w14:paraId="1CC9F04C"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398.56</w:t>
            </w:r>
          </w:p>
        </w:tc>
        <w:tc>
          <w:tcPr>
            <w:tcW w:w="1756" w:type="dxa"/>
            <w:tcBorders>
              <w:top w:val="nil"/>
              <w:left w:val="nil"/>
              <w:bottom w:val="single" w:sz="8" w:space="0" w:color="auto"/>
              <w:right w:val="nil"/>
            </w:tcBorders>
            <w:noWrap/>
            <w:vAlign w:val="center"/>
            <w:hideMark/>
          </w:tcPr>
          <w:p w14:paraId="0A1465BC"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3.34</w:t>
            </w:r>
          </w:p>
        </w:tc>
        <w:tc>
          <w:tcPr>
            <w:tcW w:w="1748" w:type="dxa"/>
            <w:tcBorders>
              <w:top w:val="nil"/>
              <w:left w:val="nil"/>
              <w:bottom w:val="single" w:sz="8" w:space="0" w:color="auto"/>
              <w:right w:val="single" w:sz="8" w:space="0" w:color="auto"/>
            </w:tcBorders>
            <w:noWrap/>
            <w:vAlign w:val="center"/>
            <w:hideMark/>
          </w:tcPr>
          <w:p w14:paraId="4B8F93C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0.49</w:t>
            </w:r>
          </w:p>
        </w:tc>
      </w:tr>
      <w:tr w:rsidR="00D10B14" w:rsidRPr="00D10B14" w14:paraId="32D5C8DD" w14:textId="77777777" w:rsidTr="00D10B14">
        <w:trPr>
          <w:trHeight w:val="300"/>
        </w:trPr>
        <w:tc>
          <w:tcPr>
            <w:tcW w:w="1908" w:type="dxa"/>
            <w:tcBorders>
              <w:top w:val="nil"/>
              <w:left w:val="single" w:sz="8" w:space="0" w:color="auto"/>
              <w:bottom w:val="nil"/>
              <w:right w:val="nil"/>
            </w:tcBorders>
            <w:noWrap/>
            <w:vAlign w:val="center"/>
            <w:hideMark/>
          </w:tcPr>
          <w:p w14:paraId="4429F1F6"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25MN-030</w:t>
            </w:r>
          </w:p>
        </w:tc>
        <w:tc>
          <w:tcPr>
            <w:tcW w:w="1836" w:type="dxa"/>
            <w:tcBorders>
              <w:top w:val="nil"/>
              <w:left w:val="nil"/>
              <w:bottom w:val="nil"/>
              <w:right w:val="nil"/>
            </w:tcBorders>
            <w:noWrap/>
            <w:vAlign w:val="center"/>
            <w:hideMark/>
          </w:tcPr>
          <w:p w14:paraId="18344795"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Gap Zone</w:t>
            </w:r>
          </w:p>
        </w:tc>
        <w:tc>
          <w:tcPr>
            <w:tcW w:w="1756" w:type="dxa"/>
            <w:tcBorders>
              <w:top w:val="nil"/>
              <w:left w:val="nil"/>
              <w:bottom w:val="nil"/>
              <w:right w:val="nil"/>
            </w:tcBorders>
            <w:noWrap/>
            <w:vAlign w:val="center"/>
            <w:hideMark/>
          </w:tcPr>
          <w:p w14:paraId="28AAD11C"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29.57</w:t>
            </w:r>
          </w:p>
        </w:tc>
        <w:tc>
          <w:tcPr>
            <w:tcW w:w="1756" w:type="dxa"/>
            <w:tcBorders>
              <w:top w:val="nil"/>
              <w:left w:val="nil"/>
              <w:bottom w:val="nil"/>
              <w:right w:val="nil"/>
            </w:tcBorders>
            <w:noWrap/>
            <w:vAlign w:val="center"/>
            <w:hideMark/>
          </w:tcPr>
          <w:p w14:paraId="3C24D89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61.57</w:t>
            </w:r>
          </w:p>
        </w:tc>
        <w:tc>
          <w:tcPr>
            <w:tcW w:w="1756" w:type="dxa"/>
            <w:tcBorders>
              <w:top w:val="nil"/>
              <w:left w:val="nil"/>
              <w:bottom w:val="nil"/>
              <w:right w:val="nil"/>
            </w:tcBorders>
            <w:noWrap/>
            <w:vAlign w:val="center"/>
            <w:hideMark/>
          </w:tcPr>
          <w:p w14:paraId="6C9511C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32</w:t>
            </w:r>
          </w:p>
        </w:tc>
        <w:tc>
          <w:tcPr>
            <w:tcW w:w="1748" w:type="dxa"/>
            <w:tcBorders>
              <w:top w:val="nil"/>
              <w:left w:val="nil"/>
              <w:bottom w:val="nil"/>
              <w:right w:val="single" w:sz="8" w:space="0" w:color="auto"/>
            </w:tcBorders>
            <w:noWrap/>
            <w:vAlign w:val="center"/>
            <w:hideMark/>
          </w:tcPr>
          <w:p w14:paraId="2DD72C9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0.36</w:t>
            </w:r>
          </w:p>
        </w:tc>
      </w:tr>
      <w:tr w:rsidR="00D10B14" w:rsidRPr="00D10B14" w14:paraId="5119BA68" w14:textId="77777777" w:rsidTr="00D10B14">
        <w:trPr>
          <w:trHeight w:val="300"/>
        </w:trPr>
        <w:tc>
          <w:tcPr>
            <w:tcW w:w="1908" w:type="dxa"/>
            <w:tcBorders>
              <w:top w:val="nil"/>
              <w:left w:val="single" w:sz="8" w:space="0" w:color="auto"/>
              <w:bottom w:val="nil"/>
              <w:right w:val="nil"/>
            </w:tcBorders>
            <w:noWrap/>
            <w:vAlign w:val="center"/>
            <w:hideMark/>
          </w:tcPr>
          <w:p w14:paraId="4E87885F" w14:textId="377B721D" w:rsidR="00D10B14" w:rsidRPr="00D10B14" w:rsidRDefault="00613D3F" w:rsidP="00D10B14">
            <w:pPr>
              <w:spacing w:line="240" w:lineRule="auto"/>
              <w:jc w:val="center"/>
              <w:rPr>
                <w:rFonts w:eastAsia="Times New Roman"/>
                <w:i/>
                <w:iCs/>
                <w:color w:val="000000"/>
                <w:lang w:eastAsia="en-US"/>
              </w:rPr>
            </w:pPr>
            <w:r w:rsidRPr="00613D3F">
              <w:rPr>
                <w:rFonts w:eastAsia="Times New Roman"/>
                <w:color w:val="000000"/>
                <w:lang w:eastAsia="en-US"/>
              </w:rPr>
              <w:t>245.06</w:t>
            </w:r>
            <w:r w:rsidR="00D10B14" w:rsidRPr="00D10B14">
              <w:rPr>
                <w:rFonts w:eastAsia="Times New Roman"/>
                <w:i/>
                <w:iCs/>
                <w:color w:val="000000"/>
                <w:lang w:eastAsia="en-US"/>
              </w:rPr>
              <w:t> </w:t>
            </w:r>
          </w:p>
        </w:tc>
        <w:tc>
          <w:tcPr>
            <w:tcW w:w="1836" w:type="dxa"/>
            <w:tcBorders>
              <w:top w:val="nil"/>
              <w:left w:val="nil"/>
              <w:bottom w:val="nil"/>
              <w:right w:val="nil"/>
            </w:tcBorders>
            <w:noWrap/>
            <w:vAlign w:val="center"/>
            <w:hideMark/>
          </w:tcPr>
          <w:p w14:paraId="4087864B"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60° / -48°</w:t>
            </w:r>
          </w:p>
        </w:tc>
        <w:tc>
          <w:tcPr>
            <w:tcW w:w="1756" w:type="dxa"/>
            <w:tcBorders>
              <w:top w:val="nil"/>
              <w:left w:val="nil"/>
              <w:bottom w:val="nil"/>
              <w:right w:val="nil"/>
            </w:tcBorders>
            <w:noWrap/>
            <w:vAlign w:val="center"/>
            <w:hideMark/>
          </w:tcPr>
          <w:p w14:paraId="2A37C6A9"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189.89</w:t>
            </w:r>
          </w:p>
        </w:tc>
        <w:tc>
          <w:tcPr>
            <w:tcW w:w="1756" w:type="dxa"/>
            <w:tcBorders>
              <w:top w:val="nil"/>
              <w:left w:val="nil"/>
              <w:bottom w:val="nil"/>
              <w:right w:val="nil"/>
            </w:tcBorders>
            <w:noWrap/>
            <w:vAlign w:val="center"/>
            <w:hideMark/>
          </w:tcPr>
          <w:p w14:paraId="38CD0BF3"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198.42</w:t>
            </w:r>
          </w:p>
        </w:tc>
        <w:tc>
          <w:tcPr>
            <w:tcW w:w="1756" w:type="dxa"/>
            <w:tcBorders>
              <w:top w:val="nil"/>
              <w:left w:val="nil"/>
              <w:bottom w:val="nil"/>
              <w:right w:val="nil"/>
            </w:tcBorders>
            <w:noWrap/>
            <w:vAlign w:val="center"/>
            <w:hideMark/>
          </w:tcPr>
          <w:p w14:paraId="2D5038DA"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8.53</w:t>
            </w:r>
          </w:p>
        </w:tc>
        <w:tc>
          <w:tcPr>
            <w:tcW w:w="1748" w:type="dxa"/>
            <w:tcBorders>
              <w:top w:val="nil"/>
              <w:left w:val="nil"/>
              <w:bottom w:val="nil"/>
              <w:right w:val="single" w:sz="8" w:space="0" w:color="auto"/>
            </w:tcBorders>
            <w:noWrap/>
            <w:vAlign w:val="center"/>
            <w:hideMark/>
          </w:tcPr>
          <w:p w14:paraId="79A1D949"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0.43</w:t>
            </w:r>
          </w:p>
        </w:tc>
      </w:tr>
      <w:tr w:rsidR="00D10B14" w:rsidRPr="00D10B14" w14:paraId="2C527D32" w14:textId="77777777" w:rsidTr="00D10B14">
        <w:trPr>
          <w:trHeight w:val="300"/>
        </w:trPr>
        <w:tc>
          <w:tcPr>
            <w:tcW w:w="1908" w:type="dxa"/>
            <w:tcBorders>
              <w:top w:val="nil"/>
              <w:left w:val="single" w:sz="8" w:space="0" w:color="auto"/>
              <w:bottom w:val="nil"/>
              <w:right w:val="nil"/>
            </w:tcBorders>
            <w:noWrap/>
            <w:vAlign w:val="center"/>
            <w:hideMark/>
          </w:tcPr>
          <w:p w14:paraId="63110F68"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 </w:t>
            </w:r>
          </w:p>
        </w:tc>
        <w:tc>
          <w:tcPr>
            <w:tcW w:w="1836" w:type="dxa"/>
            <w:tcBorders>
              <w:top w:val="nil"/>
              <w:left w:val="nil"/>
              <w:bottom w:val="nil"/>
              <w:right w:val="nil"/>
            </w:tcBorders>
            <w:noWrap/>
            <w:vAlign w:val="center"/>
            <w:hideMark/>
          </w:tcPr>
          <w:p w14:paraId="2088EAA4" w14:textId="77777777" w:rsidR="00D10B14" w:rsidRPr="00D10B14" w:rsidRDefault="00D10B14" w:rsidP="00D10B14">
            <w:pPr>
              <w:spacing w:line="240" w:lineRule="auto"/>
              <w:jc w:val="center"/>
              <w:rPr>
                <w:rFonts w:eastAsia="Times New Roman"/>
                <w:i/>
                <w:iCs/>
                <w:color w:val="000000"/>
                <w:lang w:eastAsia="en-US"/>
              </w:rPr>
            </w:pPr>
          </w:p>
        </w:tc>
        <w:tc>
          <w:tcPr>
            <w:tcW w:w="1756" w:type="dxa"/>
            <w:tcBorders>
              <w:top w:val="nil"/>
              <w:left w:val="nil"/>
              <w:bottom w:val="nil"/>
              <w:right w:val="nil"/>
            </w:tcBorders>
            <w:noWrap/>
            <w:vAlign w:val="center"/>
            <w:hideMark/>
          </w:tcPr>
          <w:p w14:paraId="3F9E5199"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204.37</w:t>
            </w:r>
          </w:p>
        </w:tc>
        <w:tc>
          <w:tcPr>
            <w:tcW w:w="1756" w:type="dxa"/>
            <w:tcBorders>
              <w:top w:val="nil"/>
              <w:left w:val="nil"/>
              <w:bottom w:val="nil"/>
              <w:right w:val="nil"/>
            </w:tcBorders>
            <w:noWrap/>
            <w:vAlign w:val="center"/>
            <w:hideMark/>
          </w:tcPr>
          <w:p w14:paraId="37AD210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214</w:t>
            </w:r>
          </w:p>
        </w:tc>
        <w:tc>
          <w:tcPr>
            <w:tcW w:w="1756" w:type="dxa"/>
            <w:tcBorders>
              <w:top w:val="nil"/>
              <w:left w:val="nil"/>
              <w:bottom w:val="nil"/>
              <w:right w:val="nil"/>
            </w:tcBorders>
            <w:noWrap/>
            <w:vAlign w:val="center"/>
            <w:hideMark/>
          </w:tcPr>
          <w:p w14:paraId="07D86668"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9.63</w:t>
            </w:r>
          </w:p>
        </w:tc>
        <w:tc>
          <w:tcPr>
            <w:tcW w:w="1748" w:type="dxa"/>
            <w:tcBorders>
              <w:top w:val="nil"/>
              <w:left w:val="nil"/>
              <w:bottom w:val="nil"/>
              <w:right w:val="single" w:sz="8" w:space="0" w:color="auto"/>
            </w:tcBorders>
            <w:noWrap/>
            <w:vAlign w:val="center"/>
            <w:hideMark/>
          </w:tcPr>
          <w:p w14:paraId="13DD4FF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0.24</w:t>
            </w:r>
          </w:p>
        </w:tc>
      </w:tr>
      <w:tr w:rsidR="00D10B14" w:rsidRPr="00D10B14" w14:paraId="4D40F9C8" w14:textId="77777777" w:rsidTr="00D10B14">
        <w:trPr>
          <w:trHeight w:val="300"/>
        </w:trPr>
        <w:tc>
          <w:tcPr>
            <w:tcW w:w="1908" w:type="dxa"/>
            <w:tcBorders>
              <w:top w:val="nil"/>
              <w:left w:val="single" w:sz="8" w:space="0" w:color="auto"/>
              <w:bottom w:val="nil"/>
              <w:right w:val="nil"/>
            </w:tcBorders>
            <w:noWrap/>
            <w:vAlign w:val="center"/>
            <w:hideMark/>
          </w:tcPr>
          <w:p w14:paraId="7399AA4C"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 </w:t>
            </w:r>
          </w:p>
        </w:tc>
        <w:tc>
          <w:tcPr>
            <w:tcW w:w="1836" w:type="dxa"/>
            <w:tcBorders>
              <w:top w:val="nil"/>
              <w:left w:val="nil"/>
              <w:bottom w:val="nil"/>
              <w:right w:val="nil"/>
            </w:tcBorders>
            <w:noWrap/>
            <w:vAlign w:val="center"/>
            <w:hideMark/>
          </w:tcPr>
          <w:p w14:paraId="69271C38" w14:textId="77777777" w:rsidR="00D10B14" w:rsidRPr="00D10B14" w:rsidRDefault="00D10B14" w:rsidP="00D10B14">
            <w:pPr>
              <w:spacing w:line="240" w:lineRule="auto"/>
              <w:jc w:val="center"/>
              <w:rPr>
                <w:rFonts w:eastAsia="Times New Roman"/>
                <w:i/>
                <w:iCs/>
                <w:color w:val="000000"/>
                <w:lang w:eastAsia="en-US"/>
              </w:rPr>
            </w:pPr>
          </w:p>
        </w:tc>
        <w:tc>
          <w:tcPr>
            <w:tcW w:w="1756" w:type="dxa"/>
            <w:tcBorders>
              <w:top w:val="nil"/>
              <w:left w:val="nil"/>
              <w:bottom w:val="nil"/>
              <w:right w:val="nil"/>
            </w:tcBorders>
            <w:noWrap/>
            <w:vAlign w:val="center"/>
            <w:hideMark/>
          </w:tcPr>
          <w:p w14:paraId="1C727EDE"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222.14</w:t>
            </w:r>
          </w:p>
        </w:tc>
        <w:tc>
          <w:tcPr>
            <w:tcW w:w="1756" w:type="dxa"/>
            <w:tcBorders>
              <w:top w:val="nil"/>
              <w:left w:val="nil"/>
              <w:bottom w:val="nil"/>
              <w:right w:val="nil"/>
            </w:tcBorders>
            <w:noWrap/>
            <w:vAlign w:val="center"/>
            <w:hideMark/>
          </w:tcPr>
          <w:p w14:paraId="6F79BB0D"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229.51</w:t>
            </w:r>
          </w:p>
        </w:tc>
        <w:tc>
          <w:tcPr>
            <w:tcW w:w="1756" w:type="dxa"/>
            <w:tcBorders>
              <w:top w:val="nil"/>
              <w:left w:val="nil"/>
              <w:bottom w:val="nil"/>
              <w:right w:val="nil"/>
            </w:tcBorders>
            <w:noWrap/>
            <w:vAlign w:val="center"/>
            <w:hideMark/>
          </w:tcPr>
          <w:p w14:paraId="2C09C89A"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7.38</w:t>
            </w:r>
          </w:p>
        </w:tc>
        <w:tc>
          <w:tcPr>
            <w:tcW w:w="1748" w:type="dxa"/>
            <w:tcBorders>
              <w:top w:val="nil"/>
              <w:left w:val="nil"/>
              <w:bottom w:val="nil"/>
              <w:right w:val="single" w:sz="8" w:space="0" w:color="auto"/>
            </w:tcBorders>
            <w:noWrap/>
            <w:vAlign w:val="center"/>
            <w:hideMark/>
          </w:tcPr>
          <w:p w14:paraId="0E617E8F"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2.21</w:t>
            </w:r>
          </w:p>
        </w:tc>
      </w:tr>
      <w:tr w:rsidR="00D10B14" w:rsidRPr="00D10B14" w14:paraId="392E4A82" w14:textId="77777777" w:rsidTr="00D10B14">
        <w:trPr>
          <w:trHeight w:val="320"/>
        </w:trPr>
        <w:tc>
          <w:tcPr>
            <w:tcW w:w="1908" w:type="dxa"/>
            <w:tcBorders>
              <w:top w:val="nil"/>
              <w:left w:val="single" w:sz="8" w:space="0" w:color="auto"/>
              <w:bottom w:val="single" w:sz="8" w:space="0" w:color="auto"/>
              <w:right w:val="nil"/>
            </w:tcBorders>
            <w:noWrap/>
            <w:vAlign w:val="center"/>
            <w:hideMark/>
          </w:tcPr>
          <w:p w14:paraId="50BB5295"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including</w:t>
            </w:r>
          </w:p>
        </w:tc>
        <w:tc>
          <w:tcPr>
            <w:tcW w:w="1836" w:type="dxa"/>
            <w:tcBorders>
              <w:top w:val="nil"/>
              <w:left w:val="nil"/>
              <w:bottom w:val="single" w:sz="8" w:space="0" w:color="auto"/>
              <w:right w:val="nil"/>
            </w:tcBorders>
            <w:noWrap/>
            <w:vAlign w:val="center"/>
            <w:hideMark/>
          </w:tcPr>
          <w:p w14:paraId="3D5C11AB"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756" w:type="dxa"/>
            <w:tcBorders>
              <w:top w:val="nil"/>
              <w:left w:val="nil"/>
              <w:bottom w:val="single" w:sz="8" w:space="0" w:color="auto"/>
              <w:right w:val="nil"/>
            </w:tcBorders>
            <w:noWrap/>
            <w:vAlign w:val="center"/>
            <w:hideMark/>
          </w:tcPr>
          <w:p w14:paraId="101EAA69"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227.23</w:t>
            </w:r>
          </w:p>
        </w:tc>
        <w:tc>
          <w:tcPr>
            <w:tcW w:w="1756" w:type="dxa"/>
            <w:tcBorders>
              <w:top w:val="nil"/>
              <w:left w:val="nil"/>
              <w:bottom w:val="single" w:sz="8" w:space="0" w:color="auto"/>
              <w:right w:val="nil"/>
            </w:tcBorders>
            <w:noWrap/>
            <w:vAlign w:val="center"/>
            <w:hideMark/>
          </w:tcPr>
          <w:p w14:paraId="037C3718"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229.51</w:t>
            </w:r>
          </w:p>
        </w:tc>
        <w:tc>
          <w:tcPr>
            <w:tcW w:w="1756" w:type="dxa"/>
            <w:tcBorders>
              <w:top w:val="nil"/>
              <w:left w:val="nil"/>
              <w:bottom w:val="single" w:sz="8" w:space="0" w:color="auto"/>
              <w:right w:val="nil"/>
            </w:tcBorders>
            <w:noWrap/>
            <w:vAlign w:val="center"/>
            <w:hideMark/>
          </w:tcPr>
          <w:p w14:paraId="4F5A48F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2.29</w:t>
            </w:r>
          </w:p>
        </w:tc>
        <w:tc>
          <w:tcPr>
            <w:tcW w:w="1748" w:type="dxa"/>
            <w:tcBorders>
              <w:top w:val="nil"/>
              <w:left w:val="nil"/>
              <w:bottom w:val="single" w:sz="8" w:space="0" w:color="auto"/>
              <w:right w:val="single" w:sz="8" w:space="0" w:color="auto"/>
            </w:tcBorders>
            <w:noWrap/>
            <w:vAlign w:val="center"/>
            <w:hideMark/>
          </w:tcPr>
          <w:p w14:paraId="55AF17BB"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6.64</w:t>
            </w:r>
          </w:p>
        </w:tc>
      </w:tr>
      <w:tr w:rsidR="00D10B14" w:rsidRPr="00D10B14" w14:paraId="69005D63" w14:textId="77777777" w:rsidTr="00D10B14">
        <w:trPr>
          <w:trHeight w:val="300"/>
        </w:trPr>
        <w:tc>
          <w:tcPr>
            <w:tcW w:w="1908" w:type="dxa"/>
            <w:tcBorders>
              <w:top w:val="nil"/>
              <w:left w:val="single" w:sz="8" w:space="0" w:color="auto"/>
              <w:bottom w:val="nil"/>
              <w:right w:val="nil"/>
            </w:tcBorders>
            <w:noWrap/>
            <w:vAlign w:val="center"/>
            <w:hideMark/>
          </w:tcPr>
          <w:p w14:paraId="3FED3472"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25MN-031</w:t>
            </w:r>
          </w:p>
        </w:tc>
        <w:tc>
          <w:tcPr>
            <w:tcW w:w="1836" w:type="dxa"/>
            <w:tcBorders>
              <w:top w:val="nil"/>
              <w:left w:val="nil"/>
              <w:bottom w:val="nil"/>
              <w:right w:val="nil"/>
            </w:tcBorders>
            <w:noWrap/>
            <w:vAlign w:val="center"/>
            <w:hideMark/>
          </w:tcPr>
          <w:p w14:paraId="0A01BD61"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West Pit</w:t>
            </w:r>
          </w:p>
        </w:tc>
        <w:tc>
          <w:tcPr>
            <w:tcW w:w="1756" w:type="dxa"/>
            <w:tcBorders>
              <w:top w:val="nil"/>
              <w:left w:val="nil"/>
              <w:bottom w:val="nil"/>
              <w:right w:val="nil"/>
            </w:tcBorders>
            <w:noWrap/>
            <w:vAlign w:val="center"/>
            <w:hideMark/>
          </w:tcPr>
          <w:p w14:paraId="7FCADC0B"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34.75</w:t>
            </w:r>
          </w:p>
        </w:tc>
        <w:tc>
          <w:tcPr>
            <w:tcW w:w="1756" w:type="dxa"/>
            <w:tcBorders>
              <w:top w:val="nil"/>
              <w:left w:val="nil"/>
              <w:bottom w:val="nil"/>
              <w:right w:val="nil"/>
            </w:tcBorders>
            <w:noWrap/>
            <w:vAlign w:val="center"/>
            <w:hideMark/>
          </w:tcPr>
          <w:p w14:paraId="24689FD6"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56.08</w:t>
            </w:r>
          </w:p>
        </w:tc>
        <w:tc>
          <w:tcPr>
            <w:tcW w:w="1756" w:type="dxa"/>
            <w:tcBorders>
              <w:top w:val="nil"/>
              <w:left w:val="nil"/>
              <w:bottom w:val="nil"/>
              <w:right w:val="nil"/>
            </w:tcBorders>
            <w:noWrap/>
            <w:vAlign w:val="center"/>
            <w:hideMark/>
          </w:tcPr>
          <w:p w14:paraId="5CC8A8BC"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21.34</w:t>
            </w:r>
          </w:p>
        </w:tc>
        <w:tc>
          <w:tcPr>
            <w:tcW w:w="1748" w:type="dxa"/>
            <w:tcBorders>
              <w:top w:val="nil"/>
              <w:left w:val="nil"/>
              <w:bottom w:val="nil"/>
              <w:right w:val="single" w:sz="8" w:space="0" w:color="auto"/>
            </w:tcBorders>
            <w:noWrap/>
            <w:vAlign w:val="center"/>
            <w:hideMark/>
          </w:tcPr>
          <w:p w14:paraId="18FE25E4"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0.3</w:t>
            </w:r>
          </w:p>
        </w:tc>
      </w:tr>
      <w:tr w:rsidR="00D10B14" w:rsidRPr="00D10B14" w14:paraId="53F2BE59" w14:textId="77777777" w:rsidTr="00D10B14">
        <w:trPr>
          <w:trHeight w:val="300"/>
        </w:trPr>
        <w:tc>
          <w:tcPr>
            <w:tcW w:w="1908" w:type="dxa"/>
            <w:tcBorders>
              <w:top w:val="nil"/>
              <w:left w:val="single" w:sz="8" w:space="0" w:color="auto"/>
              <w:bottom w:val="nil"/>
              <w:right w:val="nil"/>
            </w:tcBorders>
            <w:noWrap/>
            <w:vAlign w:val="center"/>
            <w:hideMark/>
          </w:tcPr>
          <w:p w14:paraId="4E0B9CB2" w14:textId="445DE055"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 </w:t>
            </w:r>
            <w:r w:rsidR="00613D3F" w:rsidRPr="00613D3F">
              <w:rPr>
                <w:rFonts w:eastAsia="Times New Roman"/>
                <w:color w:val="000000"/>
                <w:lang w:eastAsia="en-US"/>
              </w:rPr>
              <w:t>301.75</w:t>
            </w:r>
          </w:p>
        </w:tc>
        <w:tc>
          <w:tcPr>
            <w:tcW w:w="1836" w:type="dxa"/>
            <w:tcBorders>
              <w:top w:val="nil"/>
              <w:left w:val="nil"/>
              <w:bottom w:val="nil"/>
              <w:right w:val="nil"/>
            </w:tcBorders>
            <w:noWrap/>
            <w:vAlign w:val="center"/>
            <w:hideMark/>
          </w:tcPr>
          <w:p w14:paraId="2E872A90"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60° / -65°</w:t>
            </w:r>
          </w:p>
        </w:tc>
        <w:tc>
          <w:tcPr>
            <w:tcW w:w="1756" w:type="dxa"/>
            <w:tcBorders>
              <w:top w:val="nil"/>
              <w:left w:val="nil"/>
              <w:bottom w:val="nil"/>
              <w:right w:val="nil"/>
            </w:tcBorders>
            <w:noWrap/>
            <w:vAlign w:val="center"/>
            <w:hideMark/>
          </w:tcPr>
          <w:p w14:paraId="12789E3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121.92</w:t>
            </w:r>
          </w:p>
        </w:tc>
        <w:tc>
          <w:tcPr>
            <w:tcW w:w="1756" w:type="dxa"/>
            <w:tcBorders>
              <w:top w:val="nil"/>
              <w:left w:val="nil"/>
              <w:bottom w:val="nil"/>
              <w:right w:val="nil"/>
            </w:tcBorders>
            <w:noWrap/>
            <w:vAlign w:val="center"/>
            <w:hideMark/>
          </w:tcPr>
          <w:p w14:paraId="385B98C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144.32</w:t>
            </w:r>
          </w:p>
        </w:tc>
        <w:tc>
          <w:tcPr>
            <w:tcW w:w="1756" w:type="dxa"/>
            <w:tcBorders>
              <w:top w:val="nil"/>
              <w:left w:val="nil"/>
              <w:bottom w:val="nil"/>
              <w:right w:val="nil"/>
            </w:tcBorders>
            <w:noWrap/>
            <w:vAlign w:val="center"/>
            <w:hideMark/>
          </w:tcPr>
          <w:p w14:paraId="2CFFCAA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22.4</w:t>
            </w:r>
          </w:p>
        </w:tc>
        <w:tc>
          <w:tcPr>
            <w:tcW w:w="1748" w:type="dxa"/>
            <w:tcBorders>
              <w:top w:val="nil"/>
              <w:left w:val="nil"/>
              <w:bottom w:val="nil"/>
              <w:right w:val="single" w:sz="8" w:space="0" w:color="auto"/>
            </w:tcBorders>
            <w:noWrap/>
            <w:vAlign w:val="center"/>
            <w:hideMark/>
          </w:tcPr>
          <w:p w14:paraId="6C0D43E6"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0.26</w:t>
            </w:r>
          </w:p>
        </w:tc>
      </w:tr>
      <w:tr w:rsidR="00D10B14" w:rsidRPr="00D10B14" w14:paraId="67401328" w14:textId="77777777" w:rsidTr="00D10B14">
        <w:trPr>
          <w:trHeight w:val="300"/>
        </w:trPr>
        <w:tc>
          <w:tcPr>
            <w:tcW w:w="1908" w:type="dxa"/>
            <w:tcBorders>
              <w:top w:val="nil"/>
              <w:left w:val="single" w:sz="8" w:space="0" w:color="auto"/>
              <w:bottom w:val="nil"/>
              <w:right w:val="nil"/>
            </w:tcBorders>
            <w:noWrap/>
            <w:vAlign w:val="center"/>
            <w:hideMark/>
          </w:tcPr>
          <w:p w14:paraId="227D3679"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836" w:type="dxa"/>
            <w:tcBorders>
              <w:top w:val="nil"/>
              <w:left w:val="nil"/>
              <w:bottom w:val="nil"/>
              <w:right w:val="nil"/>
            </w:tcBorders>
            <w:noWrap/>
            <w:vAlign w:val="center"/>
            <w:hideMark/>
          </w:tcPr>
          <w:p w14:paraId="389F872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p>
        </w:tc>
        <w:tc>
          <w:tcPr>
            <w:tcW w:w="1756" w:type="dxa"/>
            <w:tcBorders>
              <w:top w:val="nil"/>
              <w:left w:val="nil"/>
              <w:bottom w:val="nil"/>
              <w:right w:val="nil"/>
            </w:tcBorders>
            <w:noWrap/>
            <w:vAlign w:val="center"/>
            <w:hideMark/>
          </w:tcPr>
          <w:p w14:paraId="5B1038FB"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164.77</w:t>
            </w:r>
          </w:p>
        </w:tc>
        <w:tc>
          <w:tcPr>
            <w:tcW w:w="1756" w:type="dxa"/>
            <w:tcBorders>
              <w:top w:val="nil"/>
              <w:left w:val="nil"/>
              <w:bottom w:val="nil"/>
              <w:right w:val="nil"/>
            </w:tcBorders>
            <w:noWrap/>
            <w:vAlign w:val="center"/>
            <w:hideMark/>
          </w:tcPr>
          <w:p w14:paraId="1866EB46"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185.32</w:t>
            </w:r>
          </w:p>
        </w:tc>
        <w:tc>
          <w:tcPr>
            <w:tcW w:w="1756" w:type="dxa"/>
            <w:tcBorders>
              <w:top w:val="nil"/>
              <w:left w:val="nil"/>
              <w:bottom w:val="nil"/>
              <w:right w:val="nil"/>
            </w:tcBorders>
            <w:noWrap/>
            <w:vAlign w:val="center"/>
            <w:hideMark/>
          </w:tcPr>
          <w:p w14:paraId="3F5C9A19"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20.54</w:t>
            </w:r>
          </w:p>
        </w:tc>
        <w:tc>
          <w:tcPr>
            <w:tcW w:w="1748" w:type="dxa"/>
            <w:tcBorders>
              <w:top w:val="nil"/>
              <w:left w:val="nil"/>
              <w:bottom w:val="nil"/>
              <w:right w:val="single" w:sz="8" w:space="0" w:color="auto"/>
            </w:tcBorders>
            <w:noWrap/>
            <w:vAlign w:val="center"/>
            <w:hideMark/>
          </w:tcPr>
          <w:p w14:paraId="5E90775D"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0.54</w:t>
            </w:r>
          </w:p>
        </w:tc>
      </w:tr>
      <w:tr w:rsidR="00D10B14" w:rsidRPr="00D10B14" w14:paraId="657EF99C" w14:textId="77777777" w:rsidTr="00D10B14">
        <w:trPr>
          <w:trHeight w:val="300"/>
        </w:trPr>
        <w:tc>
          <w:tcPr>
            <w:tcW w:w="1908" w:type="dxa"/>
            <w:tcBorders>
              <w:top w:val="nil"/>
              <w:left w:val="single" w:sz="8" w:space="0" w:color="auto"/>
              <w:bottom w:val="nil"/>
              <w:right w:val="nil"/>
            </w:tcBorders>
            <w:noWrap/>
            <w:vAlign w:val="center"/>
            <w:hideMark/>
          </w:tcPr>
          <w:p w14:paraId="202BE6B6"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including</w:t>
            </w:r>
          </w:p>
        </w:tc>
        <w:tc>
          <w:tcPr>
            <w:tcW w:w="1836" w:type="dxa"/>
            <w:tcBorders>
              <w:top w:val="nil"/>
              <w:left w:val="nil"/>
              <w:bottom w:val="nil"/>
              <w:right w:val="nil"/>
            </w:tcBorders>
            <w:noWrap/>
            <w:vAlign w:val="center"/>
            <w:hideMark/>
          </w:tcPr>
          <w:p w14:paraId="4F3E8D49" w14:textId="77777777" w:rsidR="00D10B14" w:rsidRPr="00D10B14" w:rsidRDefault="00D10B14" w:rsidP="00D10B14">
            <w:pPr>
              <w:spacing w:line="240" w:lineRule="auto"/>
              <w:jc w:val="center"/>
              <w:rPr>
                <w:rFonts w:eastAsia="Times New Roman"/>
                <w:i/>
                <w:iCs/>
                <w:color w:val="000000"/>
                <w:lang w:eastAsia="en-US"/>
              </w:rPr>
            </w:pPr>
          </w:p>
        </w:tc>
        <w:tc>
          <w:tcPr>
            <w:tcW w:w="1756" w:type="dxa"/>
            <w:tcBorders>
              <w:top w:val="nil"/>
              <w:left w:val="nil"/>
              <w:bottom w:val="nil"/>
              <w:right w:val="nil"/>
            </w:tcBorders>
            <w:noWrap/>
            <w:vAlign w:val="center"/>
            <w:hideMark/>
          </w:tcPr>
          <w:p w14:paraId="2DBF1A1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170.67</w:t>
            </w:r>
          </w:p>
        </w:tc>
        <w:tc>
          <w:tcPr>
            <w:tcW w:w="1756" w:type="dxa"/>
            <w:tcBorders>
              <w:top w:val="nil"/>
              <w:left w:val="nil"/>
              <w:bottom w:val="nil"/>
              <w:right w:val="nil"/>
            </w:tcBorders>
            <w:noWrap/>
            <w:vAlign w:val="center"/>
            <w:hideMark/>
          </w:tcPr>
          <w:p w14:paraId="1757AAE9"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179.62</w:t>
            </w:r>
          </w:p>
        </w:tc>
        <w:tc>
          <w:tcPr>
            <w:tcW w:w="1756" w:type="dxa"/>
            <w:tcBorders>
              <w:top w:val="nil"/>
              <w:left w:val="nil"/>
              <w:bottom w:val="nil"/>
              <w:right w:val="nil"/>
            </w:tcBorders>
            <w:noWrap/>
            <w:vAlign w:val="center"/>
            <w:hideMark/>
          </w:tcPr>
          <w:p w14:paraId="194470FB"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8.95</w:t>
            </w:r>
          </w:p>
        </w:tc>
        <w:tc>
          <w:tcPr>
            <w:tcW w:w="1748" w:type="dxa"/>
            <w:tcBorders>
              <w:top w:val="nil"/>
              <w:left w:val="nil"/>
              <w:bottom w:val="nil"/>
              <w:right w:val="single" w:sz="8" w:space="0" w:color="auto"/>
            </w:tcBorders>
            <w:noWrap/>
            <w:vAlign w:val="center"/>
            <w:hideMark/>
          </w:tcPr>
          <w:p w14:paraId="71AF19D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1.34</w:t>
            </w:r>
          </w:p>
        </w:tc>
      </w:tr>
      <w:tr w:rsidR="00D10B14" w:rsidRPr="00D10B14" w14:paraId="415779C7" w14:textId="77777777" w:rsidTr="00D10B14">
        <w:trPr>
          <w:trHeight w:val="300"/>
        </w:trPr>
        <w:tc>
          <w:tcPr>
            <w:tcW w:w="1908" w:type="dxa"/>
            <w:tcBorders>
              <w:top w:val="nil"/>
              <w:left w:val="single" w:sz="8" w:space="0" w:color="auto"/>
              <w:bottom w:val="nil"/>
              <w:right w:val="nil"/>
            </w:tcBorders>
            <w:noWrap/>
            <w:vAlign w:val="center"/>
            <w:hideMark/>
          </w:tcPr>
          <w:p w14:paraId="533AD1D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836" w:type="dxa"/>
            <w:tcBorders>
              <w:top w:val="nil"/>
              <w:left w:val="nil"/>
              <w:bottom w:val="nil"/>
              <w:right w:val="nil"/>
            </w:tcBorders>
            <w:noWrap/>
            <w:vAlign w:val="center"/>
            <w:hideMark/>
          </w:tcPr>
          <w:p w14:paraId="12908B09"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p>
        </w:tc>
        <w:tc>
          <w:tcPr>
            <w:tcW w:w="1756" w:type="dxa"/>
            <w:tcBorders>
              <w:top w:val="nil"/>
              <w:left w:val="nil"/>
              <w:bottom w:val="nil"/>
              <w:right w:val="nil"/>
            </w:tcBorders>
            <w:noWrap/>
            <w:vAlign w:val="center"/>
            <w:hideMark/>
          </w:tcPr>
          <w:p w14:paraId="4E3283A7"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205.71</w:t>
            </w:r>
          </w:p>
        </w:tc>
        <w:tc>
          <w:tcPr>
            <w:tcW w:w="1756" w:type="dxa"/>
            <w:tcBorders>
              <w:top w:val="nil"/>
              <w:left w:val="nil"/>
              <w:bottom w:val="nil"/>
              <w:right w:val="nil"/>
            </w:tcBorders>
            <w:noWrap/>
            <w:vAlign w:val="center"/>
            <w:hideMark/>
          </w:tcPr>
          <w:p w14:paraId="02F17E08"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208.48</w:t>
            </w:r>
          </w:p>
        </w:tc>
        <w:tc>
          <w:tcPr>
            <w:tcW w:w="1756" w:type="dxa"/>
            <w:tcBorders>
              <w:top w:val="nil"/>
              <w:left w:val="nil"/>
              <w:bottom w:val="nil"/>
              <w:right w:val="nil"/>
            </w:tcBorders>
            <w:noWrap/>
            <w:vAlign w:val="center"/>
            <w:hideMark/>
          </w:tcPr>
          <w:p w14:paraId="057C9CA7"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2.77</w:t>
            </w:r>
          </w:p>
        </w:tc>
        <w:tc>
          <w:tcPr>
            <w:tcW w:w="1748" w:type="dxa"/>
            <w:tcBorders>
              <w:top w:val="nil"/>
              <w:left w:val="nil"/>
              <w:bottom w:val="nil"/>
              <w:right w:val="single" w:sz="8" w:space="0" w:color="auto"/>
            </w:tcBorders>
            <w:noWrap/>
            <w:vAlign w:val="center"/>
            <w:hideMark/>
          </w:tcPr>
          <w:p w14:paraId="18925870"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3.54</w:t>
            </w:r>
          </w:p>
        </w:tc>
      </w:tr>
      <w:tr w:rsidR="00D10B14" w:rsidRPr="00D10B14" w14:paraId="18741490" w14:textId="77777777" w:rsidTr="00D10B14">
        <w:trPr>
          <w:trHeight w:val="300"/>
        </w:trPr>
        <w:tc>
          <w:tcPr>
            <w:tcW w:w="1908" w:type="dxa"/>
            <w:tcBorders>
              <w:top w:val="nil"/>
              <w:left w:val="single" w:sz="8" w:space="0" w:color="auto"/>
              <w:bottom w:val="nil"/>
              <w:right w:val="nil"/>
            </w:tcBorders>
            <w:noWrap/>
            <w:vAlign w:val="center"/>
            <w:hideMark/>
          </w:tcPr>
          <w:p w14:paraId="53E7A93E" w14:textId="77777777" w:rsidR="00D10B14" w:rsidRPr="00D10B14" w:rsidRDefault="00D10B14" w:rsidP="00D10B14">
            <w:pPr>
              <w:spacing w:line="240" w:lineRule="auto"/>
              <w:jc w:val="center"/>
              <w:rPr>
                <w:rFonts w:eastAsia="Times New Roman"/>
                <w:i/>
                <w:iCs/>
                <w:color w:val="000000"/>
                <w:lang w:eastAsia="en-US"/>
              </w:rPr>
            </w:pPr>
            <w:r w:rsidRPr="00D10B14">
              <w:rPr>
                <w:rFonts w:eastAsia="Times New Roman"/>
                <w:i/>
                <w:iCs/>
                <w:color w:val="000000"/>
                <w:lang w:eastAsia="en-US"/>
              </w:rPr>
              <w:t>including</w:t>
            </w:r>
          </w:p>
        </w:tc>
        <w:tc>
          <w:tcPr>
            <w:tcW w:w="1836" w:type="dxa"/>
            <w:tcBorders>
              <w:top w:val="nil"/>
              <w:left w:val="nil"/>
              <w:bottom w:val="nil"/>
              <w:right w:val="nil"/>
            </w:tcBorders>
            <w:noWrap/>
            <w:vAlign w:val="center"/>
            <w:hideMark/>
          </w:tcPr>
          <w:p w14:paraId="79549101" w14:textId="77777777" w:rsidR="00D10B14" w:rsidRPr="00D10B14" w:rsidRDefault="00D10B14" w:rsidP="00D10B14">
            <w:pPr>
              <w:spacing w:line="240" w:lineRule="auto"/>
              <w:jc w:val="center"/>
              <w:rPr>
                <w:rFonts w:eastAsia="Times New Roman"/>
                <w:i/>
                <w:iCs/>
                <w:color w:val="000000"/>
                <w:lang w:eastAsia="en-US"/>
              </w:rPr>
            </w:pPr>
          </w:p>
        </w:tc>
        <w:tc>
          <w:tcPr>
            <w:tcW w:w="1756" w:type="dxa"/>
            <w:tcBorders>
              <w:top w:val="nil"/>
              <w:left w:val="nil"/>
              <w:bottom w:val="nil"/>
              <w:right w:val="nil"/>
            </w:tcBorders>
            <w:noWrap/>
            <w:vAlign w:val="center"/>
            <w:hideMark/>
          </w:tcPr>
          <w:p w14:paraId="3C4BB944"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205.71</w:t>
            </w:r>
          </w:p>
        </w:tc>
        <w:tc>
          <w:tcPr>
            <w:tcW w:w="1756" w:type="dxa"/>
            <w:tcBorders>
              <w:top w:val="nil"/>
              <w:left w:val="nil"/>
              <w:bottom w:val="nil"/>
              <w:right w:val="nil"/>
            </w:tcBorders>
            <w:noWrap/>
            <w:vAlign w:val="center"/>
            <w:hideMark/>
          </w:tcPr>
          <w:p w14:paraId="400F40BE"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206.2</w:t>
            </w:r>
          </w:p>
        </w:tc>
        <w:tc>
          <w:tcPr>
            <w:tcW w:w="1756" w:type="dxa"/>
            <w:tcBorders>
              <w:top w:val="nil"/>
              <w:left w:val="nil"/>
              <w:bottom w:val="nil"/>
              <w:right w:val="nil"/>
            </w:tcBorders>
            <w:noWrap/>
            <w:vAlign w:val="center"/>
            <w:hideMark/>
          </w:tcPr>
          <w:p w14:paraId="2433871A"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0.49</w:t>
            </w:r>
          </w:p>
        </w:tc>
        <w:tc>
          <w:tcPr>
            <w:tcW w:w="1748" w:type="dxa"/>
            <w:tcBorders>
              <w:top w:val="nil"/>
              <w:left w:val="nil"/>
              <w:bottom w:val="nil"/>
              <w:right w:val="single" w:sz="8" w:space="0" w:color="auto"/>
            </w:tcBorders>
            <w:noWrap/>
            <w:vAlign w:val="center"/>
            <w:hideMark/>
          </w:tcPr>
          <w:p w14:paraId="67D2AE42" w14:textId="77777777" w:rsidR="00D10B14" w:rsidRPr="00465D02" w:rsidRDefault="00D10B14" w:rsidP="00D10B14">
            <w:pPr>
              <w:spacing w:line="240" w:lineRule="auto"/>
              <w:jc w:val="center"/>
              <w:rPr>
                <w:rFonts w:ascii="Aptos Narrow" w:eastAsia="Times New Roman" w:hAnsi="Aptos Narrow" w:cs="Times New Roman"/>
                <w:b/>
                <w:bCs/>
                <w:color w:val="000000"/>
                <w:lang w:eastAsia="en-US"/>
              </w:rPr>
            </w:pPr>
            <w:r w:rsidRPr="00465D02">
              <w:rPr>
                <w:rFonts w:ascii="Aptos Narrow" w:eastAsia="Times New Roman" w:hAnsi="Aptos Narrow" w:cs="Times New Roman"/>
                <w:b/>
                <w:bCs/>
                <w:color w:val="000000"/>
                <w:lang w:eastAsia="en-US"/>
              </w:rPr>
              <w:t>14.66</w:t>
            </w:r>
          </w:p>
        </w:tc>
      </w:tr>
      <w:tr w:rsidR="00D10B14" w:rsidRPr="00D10B14" w14:paraId="26F2DBF3" w14:textId="77777777" w:rsidTr="00D10B14">
        <w:trPr>
          <w:trHeight w:val="300"/>
        </w:trPr>
        <w:tc>
          <w:tcPr>
            <w:tcW w:w="1908" w:type="dxa"/>
            <w:tcBorders>
              <w:top w:val="nil"/>
              <w:left w:val="single" w:sz="8" w:space="0" w:color="auto"/>
              <w:bottom w:val="nil"/>
              <w:right w:val="nil"/>
            </w:tcBorders>
            <w:noWrap/>
            <w:vAlign w:val="center"/>
            <w:hideMark/>
          </w:tcPr>
          <w:p w14:paraId="3845921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836" w:type="dxa"/>
            <w:tcBorders>
              <w:top w:val="nil"/>
              <w:left w:val="nil"/>
              <w:bottom w:val="nil"/>
              <w:right w:val="nil"/>
            </w:tcBorders>
            <w:noWrap/>
            <w:vAlign w:val="center"/>
            <w:hideMark/>
          </w:tcPr>
          <w:p w14:paraId="60020B31"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p>
        </w:tc>
        <w:tc>
          <w:tcPr>
            <w:tcW w:w="1756" w:type="dxa"/>
            <w:tcBorders>
              <w:top w:val="nil"/>
              <w:left w:val="nil"/>
              <w:bottom w:val="nil"/>
              <w:right w:val="nil"/>
            </w:tcBorders>
            <w:noWrap/>
            <w:vAlign w:val="center"/>
            <w:hideMark/>
          </w:tcPr>
          <w:p w14:paraId="49742F4A"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218.1</w:t>
            </w:r>
          </w:p>
        </w:tc>
        <w:tc>
          <w:tcPr>
            <w:tcW w:w="1756" w:type="dxa"/>
            <w:tcBorders>
              <w:top w:val="nil"/>
              <w:left w:val="nil"/>
              <w:bottom w:val="nil"/>
              <w:right w:val="nil"/>
            </w:tcBorders>
            <w:noWrap/>
            <w:vAlign w:val="center"/>
            <w:hideMark/>
          </w:tcPr>
          <w:p w14:paraId="0947179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221.22</w:t>
            </w:r>
          </w:p>
        </w:tc>
        <w:tc>
          <w:tcPr>
            <w:tcW w:w="1756" w:type="dxa"/>
            <w:tcBorders>
              <w:top w:val="nil"/>
              <w:left w:val="nil"/>
              <w:bottom w:val="nil"/>
              <w:right w:val="nil"/>
            </w:tcBorders>
            <w:noWrap/>
            <w:vAlign w:val="center"/>
            <w:hideMark/>
          </w:tcPr>
          <w:p w14:paraId="07605F9C"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3.12</w:t>
            </w:r>
          </w:p>
        </w:tc>
        <w:tc>
          <w:tcPr>
            <w:tcW w:w="1748" w:type="dxa"/>
            <w:tcBorders>
              <w:top w:val="nil"/>
              <w:left w:val="nil"/>
              <w:bottom w:val="nil"/>
              <w:right w:val="single" w:sz="8" w:space="0" w:color="auto"/>
            </w:tcBorders>
            <w:noWrap/>
            <w:vAlign w:val="center"/>
            <w:hideMark/>
          </w:tcPr>
          <w:p w14:paraId="1740AB28"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0.23</w:t>
            </w:r>
          </w:p>
        </w:tc>
      </w:tr>
      <w:tr w:rsidR="00D10B14" w:rsidRPr="00D10B14" w14:paraId="1C4B8F58" w14:textId="77777777" w:rsidTr="00D10B14">
        <w:trPr>
          <w:trHeight w:val="320"/>
        </w:trPr>
        <w:tc>
          <w:tcPr>
            <w:tcW w:w="1908" w:type="dxa"/>
            <w:tcBorders>
              <w:top w:val="nil"/>
              <w:left w:val="single" w:sz="8" w:space="0" w:color="auto"/>
              <w:bottom w:val="single" w:sz="8" w:space="0" w:color="auto"/>
              <w:right w:val="nil"/>
            </w:tcBorders>
            <w:noWrap/>
            <w:vAlign w:val="center"/>
            <w:hideMark/>
          </w:tcPr>
          <w:p w14:paraId="4DECB88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836" w:type="dxa"/>
            <w:tcBorders>
              <w:top w:val="nil"/>
              <w:left w:val="nil"/>
              <w:bottom w:val="single" w:sz="8" w:space="0" w:color="auto"/>
              <w:right w:val="nil"/>
            </w:tcBorders>
            <w:noWrap/>
            <w:vAlign w:val="center"/>
            <w:hideMark/>
          </w:tcPr>
          <w:p w14:paraId="0D6F857C"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 </w:t>
            </w:r>
          </w:p>
        </w:tc>
        <w:tc>
          <w:tcPr>
            <w:tcW w:w="1756" w:type="dxa"/>
            <w:tcBorders>
              <w:top w:val="nil"/>
              <w:left w:val="nil"/>
              <w:bottom w:val="single" w:sz="8" w:space="0" w:color="auto"/>
              <w:right w:val="nil"/>
            </w:tcBorders>
            <w:noWrap/>
            <w:vAlign w:val="center"/>
            <w:hideMark/>
          </w:tcPr>
          <w:p w14:paraId="0A609E3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256.4</w:t>
            </w:r>
          </w:p>
        </w:tc>
        <w:tc>
          <w:tcPr>
            <w:tcW w:w="1756" w:type="dxa"/>
            <w:tcBorders>
              <w:top w:val="nil"/>
              <w:left w:val="nil"/>
              <w:bottom w:val="single" w:sz="8" w:space="0" w:color="auto"/>
              <w:right w:val="nil"/>
            </w:tcBorders>
            <w:noWrap/>
            <w:vAlign w:val="center"/>
            <w:hideMark/>
          </w:tcPr>
          <w:p w14:paraId="37A3933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260.15</w:t>
            </w:r>
          </w:p>
        </w:tc>
        <w:tc>
          <w:tcPr>
            <w:tcW w:w="1756" w:type="dxa"/>
            <w:tcBorders>
              <w:top w:val="nil"/>
              <w:left w:val="nil"/>
              <w:bottom w:val="single" w:sz="8" w:space="0" w:color="auto"/>
              <w:right w:val="nil"/>
            </w:tcBorders>
            <w:noWrap/>
            <w:vAlign w:val="center"/>
            <w:hideMark/>
          </w:tcPr>
          <w:p w14:paraId="1953143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3.75</w:t>
            </w:r>
          </w:p>
        </w:tc>
        <w:tc>
          <w:tcPr>
            <w:tcW w:w="1748" w:type="dxa"/>
            <w:tcBorders>
              <w:top w:val="nil"/>
              <w:left w:val="nil"/>
              <w:bottom w:val="single" w:sz="8" w:space="0" w:color="auto"/>
              <w:right w:val="single" w:sz="8" w:space="0" w:color="auto"/>
            </w:tcBorders>
            <w:noWrap/>
            <w:vAlign w:val="center"/>
            <w:hideMark/>
          </w:tcPr>
          <w:p w14:paraId="233AA7F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0.44</w:t>
            </w:r>
          </w:p>
        </w:tc>
      </w:tr>
      <w:tr w:rsidR="00D10B14" w:rsidRPr="00D10B14" w14:paraId="3E28D6ED" w14:textId="77777777" w:rsidTr="00D10B14">
        <w:trPr>
          <w:trHeight w:val="300"/>
        </w:trPr>
        <w:tc>
          <w:tcPr>
            <w:tcW w:w="1908" w:type="dxa"/>
            <w:tcBorders>
              <w:top w:val="nil"/>
              <w:left w:val="single" w:sz="8" w:space="0" w:color="auto"/>
              <w:bottom w:val="nil"/>
              <w:right w:val="nil"/>
            </w:tcBorders>
            <w:noWrap/>
            <w:vAlign w:val="center"/>
            <w:hideMark/>
          </w:tcPr>
          <w:p w14:paraId="19C6F52B"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25MN-032</w:t>
            </w:r>
          </w:p>
        </w:tc>
        <w:tc>
          <w:tcPr>
            <w:tcW w:w="1836" w:type="dxa"/>
            <w:tcBorders>
              <w:top w:val="nil"/>
              <w:left w:val="nil"/>
              <w:bottom w:val="nil"/>
              <w:right w:val="nil"/>
            </w:tcBorders>
            <w:noWrap/>
            <w:vAlign w:val="center"/>
            <w:hideMark/>
          </w:tcPr>
          <w:p w14:paraId="00B83011"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West Pit</w:t>
            </w:r>
          </w:p>
        </w:tc>
        <w:tc>
          <w:tcPr>
            <w:tcW w:w="1756" w:type="dxa"/>
            <w:tcBorders>
              <w:top w:val="nil"/>
              <w:left w:val="nil"/>
              <w:bottom w:val="nil"/>
              <w:right w:val="nil"/>
            </w:tcBorders>
            <w:noWrap/>
            <w:vAlign w:val="center"/>
            <w:hideMark/>
          </w:tcPr>
          <w:p w14:paraId="3518AD8E"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111.65</w:t>
            </w:r>
          </w:p>
        </w:tc>
        <w:tc>
          <w:tcPr>
            <w:tcW w:w="1756" w:type="dxa"/>
            <w:tcBorders>
              <w:top w:val="nil"/>
              <w:left w:val="nil"/>
              <w:bottom w:val="nil"/>
              <w:right w:val="nil"/>
            </w:tcBorders>
            <w:noWrap/>
            <w:vAlign w:val="center"/>
            <w:hideMark/>
          </w:tcPr>
          <w:p w14:paraId="0EC6EEF7"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117.35</w:t>
            </w:r>
          </w:p>
        </w:tc>
        <w:tc>
          <w:tcPr>
            <w:tcW w:w="1756" w:type="dxa"/>
            <w:tcBorders>
              <w:top w:val="nil"/>
              <w:left w:val="nil"/>
              <w:bottom w:val="nil"/>
              <w:right w:val="nil"/>
            </w:tcBorders>
            <w:noWrap/>
            <w:vAlign w:val="center"/>
            <w:hideMark/>
          </w:tcPr>
          <w:p w14:paraId="00CA389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5.7</w:t>
            </w:r>
          </w:p>
        </w:tc>
        <w:tc>
          <w:tcPr>
            <w:tcW w:w="1748" w:type="dxa"/>
            <w:tcBorders>
              <w:top w:val="nil"/>
              <w:left w:val="nil"/>
              <w:bottom w:val="nil"/>
              <w:right w:val="single" w:sz="8" w:space="0" w:color="auto"/>
            </w:tcBorders>
            <w:noWrap/>
            <w:vAlign w:val="center"/>
            <w:hideMark/>
          </w:tcPr>
          <w:p w14:paraId="68E8985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0.2</w:t>
            </w:r>
          </w:p>
        </w:tc>
      </w:tr>
      <w:tr w:rsidR="00D10B14" w:rsidRPr="00D10B14" w14:paraId="0739994B" w14:textId="77777777" w:rsidTr="00D10B14">
        <w:trPr>
          <w:trHeight w:val="320"/>
        </w:trPr>
        <w:tc>
          <w:tcPr>
            <w:tcW w:w="1908" w:type="dxa"/>
            <w:tcBorders>
              <w:top w:val="nil"/>
              <w:left w:val="single" w:sz="8" w:space="0" w:color="auto"/>
              <w:bottom w:val="nil"/>
              <w:right w:val="nil"/>
            </w:tcBorders>
            <w:noWrap/>
            <w:vAlign w:val="center"/>
            <w:hideMark/>
          </w:tcPr>
          <w:p w14:paraId="3FCA07DB" w14:textId="1ED95FC7" w:rsidR="00D10B14" w:rsidRPr="00D10B14" w:rsidRDefault="00613D3F" w:rsidP="00D10B14">
            <w:pPr>
              <w:spacing w:line="240" w:lineRule="auto"/>
              <w:jc w:val="center"/>
              <w:rPr>
                <w:rFonts w:eastAsia="Times New Roman"/>
                <w:i/>
                <w:iCs/>
                <w:color w:val="000000"/>
                <w:lang w:eastAsia="en-US"/>
              </w:rPr>
            </w:pPr>
            <w:r w:rsidRPr="00613D3F">
              <w:rPr>
                <w:rFonts w:eastAsia="Times New Roman"/>
                <w:color w:val="000000"/>
                <w:lang w:eastAsia="en-US"/>
              </w:rPr>
              <w:t>290.47</w:t>
            </w:r>
            <w:r w:rsidR="00D10B14" w:rsidRPr="00D10B14">
              <w:rPr>
                <w:rFonts w:eastAsia="Times New Roman"/>
                <w:i/>
                <w:iCs/>
                <w:color w:val="000000"/>
                <w:lang w:eastAsia="en-US"/>
              </w:rPr>
              <w:t> </w:t>
            </w:r>
          </w:p>
        </w:tc>
        <w:tc>
          <w:tcPr>
            <w:tcW w:w="1836" w:type="dxa"/>
            <w:tcBorders>
              <w:top w:val="nil"/>
              <w:left w:val="nil"/>
              <w:bottom w:val="nil"/>
              <w:right w:val="nil"/>
            </w:tcBorders>
            <w:noWrap/>
            <w:vAlign w:val="center"/>
            <w:hideMark/>
          </w:tcPr>
          <w:p w14:paraId="449C3A85"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60° / -65°</w:t>
            </w:r>
          </w:p>
        </w:tc>
        <w:tc>
          <w:tcPr>
            <w:tcW w:w="1756" w:type="dxa"/>
            <w:tcBorders>
              <w:top w:val="nil"/>
              <w:left w:val="nil"/>
              <w:bottom w:val="nil"/>
              <w:right w:val="nil"/>
            </w:tcBorders>
            <w:noWrap/>
            <w:vAlign w:val="center"/>
            <w:hideMark/>
          </w:tcPr>
          <w:p w14:paraId="387DD19D"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163.56</w:t>
            </w:r>
          </w:p>
        </w:tc>
        <w:tc>
          <w:tcPr>
            <w:tcW w:w="1756" w:type="dxa"/>
            <w:tcBorders>
              <w:top w:val="nil"/>
              <w:left w:val="nil"/>
              <w:bottom w:val="nil"/>
              <w:right w:val="nil"/>
            </w:tcBorders>
            <w:noWrap/>
            <w:vAlign w:val="center"/>
            <w:hideMark/>
          </w:tcPr>
          <w:p w14:paraId="4DDF50F2"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168.19</w:t>
            </w:r>
          </w:p>
        </w:tc>
        <w:tc>
          <w:tcPr>
            <w:tcW w:w="1756" w:type="dxa"/>
            <w:tcBorders>
              <w:top w:val="nil"/>
              <w:left w:val="nil"/>
              <w:bottom w:val="nil"/>
              <w:right w:val="nil"/>
            </w:tcBorders>
            <w:noWrap/>
            <w:vAlign w:val="center"/>
            <w:hideMark/>
          </w:tcPr>
          <w:p w14:paraId="0B3136BF"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4.63</w:t>
            </w:r>
          </w:p>
        </w:tc>
        <w:tc>
          <w:tcPr>
            <w:tcW w:w="1748" w:type="dxa"/>
            <w:tcBorders>
              <w:top w:val="nil"/>
              <w:left w:val="nil"/>
              <w:bottom w:val="nil"/>
              <w:right w:val="single" w:sz="8" w:space="0" w:color="auto"/>
            </w:tcBorders>
            <w:noWrap/>
            <w:vAlign w:val="center"/>
            <w:hideMark/>
          </w:tcPr>
          <w:p w14:paraId="7A0E0743"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0.33</w:t>
            </w:r>
          </w:p>
        </w:tc>
      </w:tr>
      <w:tr w:rsidR="00D10B14" w:rsidRPr="00D10B14" w14:paraId="6376BD10" w14:textId="77777777" w:rsidTr="00D10B14">
        <w:trPr>
          <w:trHeight w:val="300"/>
        </w:trPr>
        <w:tc>
          <w:tcPr>
            <w:tcW w:w="1908" w:type="dxa"/>
            <w:tcBorders>
              <w:top w:val="single" w:sz="8" w:space="0" w:color="auto"/>
              <w:left w:val="single" w:sz="8" w:space="0" w:color="auto"/>
              <w:bottom w:val="nil"/>
              <w:right w:val="nil"/>
            </w:tcBorders>
            <w:noWrap/>
            <w:vAlign w:val="center"/>
            <w:hideMark/>
          </w:tcPr>
          <w:p w14:paraId="47BA80C7"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25MN-033</w:t>
            </w:r>
          </w:p>
        </w:tc>
        <w:tc>
          <w:tcPr>
            <w:tcW w:w="1836" w:type="dxa"/>
            <w:tcBorders>
              <w:top w:val="single" w:sz="8" w:space="0" w:color="auto"/>
              <w:left w:val="nil"/>
              <w:bottom w:val="nil"/>
              <w:right w:val="nil"/>
            </w:tcBorders>
            <w:noWrap/>
            <w:vAlign w:val="center"/>
            <w:hideMark/>
          </w:tcPr>
          <w:p w14:paraId="58EB246A"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West Pit</w:t>
            </w:r>
          </w:p>
        </w:tc>
        <w:tc>
          <w:tcPr>
            <w:tcW w:w="1756" w:type="dxa"/>
            <w:tcBorders>
              <w:top w:val="single" w:sz="8" w:space="0" w:color="auto"/>
              <w:left w:val="nil"/>
              <w:bottom w:val="nil"/>
              <w:right w:val="nil"/>
            </w:tcBorders>
            <w:noWrap/>
            <w:vAlign w:val="center"/>
            <w:hideMark/>
          </w:tcPr>
          <w:p w14:paraId="4FE0D358"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6.1</w:t>
            </w:r>
          </w:p>
        </w:tc>
        <w:tc>
          <w:tcPr>
            <w:tcW w:w="1756" w:type="dxa"/>
            <w:tcBorders>
              <w:top w:val="single" w:sz="8" w:space="0" w:color="auto"/>
              <w:left w:val="nil"/>
              <w:bottom w:val="nil"/>
              <w:right w:val="nil"/>
            </w:tcBorders>
            <w:noWrap/>
            <w:vAlign w:val="center"/>
            <w:hideMark/>
          </w:tcPr>
          <w:p w14:paraId="7F18B2D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7.47</w:t>
            </w:r>
          </w:p>
        </w:tc>
        <w:tc>
          <w:tcPr>
            <w:tcW w:w="1756" w:type="dxa"/>
            <w:tcBorders>
              <w:top w:val="single" w:sz="8" w:space="0" w:color="auto"/>
              <w:left w:val="nil"/>
              <w:bottom w:val="nil"/>
              <w:right w:val="nil"/>
            </w:tcBorders>
            <w:noWrap/>
            <w:vAlign w:val="center"/>
            <w:hideMark/>
          </w:tcPr>
          <w:p w14:paraId="71916360"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1.37</w:t>
            </w:r>
          </w:p>
        </w:tc>
        <w:tc>
          <w:tcPr>
            <w:tcW w:w="1748" w:type="dxa"/>
            <w:tcBorders>
              <w:top w:val="single" w:sz="8" w:space="0" w:color="auto"/>
              <w:left w:val="nil"/>
              <w:bottom w:val="nil"/>
              <w:right w:val="single" w:sz="8" w:space="0" w:color="auto"/>
            </w:tcBorders>
            <w:noWrap/>
            <w:vAlign w:val="center"/>
            <w:hideMark/>
          </w:tcPr>
          <w:p w14:paraId="719E5D8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4.17</w:t>
            </w:r>
          </w:p>
        </w:tc>
      </w:tr>
      <w:tr w:rsidR="00D10B14" w:rsidRPr="00D10B14" w14:paraId="65B852FB" w14:textId="77777777" w:rsidTr="00D10B14">
        <w:trPr>
          <w:trHeight w:val="320"/>
        </w:trPr>
        <w:tc>
          <w:tcPr>
            <w:tcW w:w="1908" w:type="dxa"/>
            <w:tcBorders>
              <w:top w:val="nil"/>
              <w:left w:val="single" w:sz="8" w:space="0" w:color="auto"/>
              <w:bottom w:val="single" w:sz="8" w:space="0" w:color="auto"/>
              <w:right w:val="nil"/>
            </w:tcBorders>
            <w:noWrap/>
            <w:vAlign w:val="center"/>
            <w:hideMark/>
          </w:tcPr>
          <w:p w14:paraId="5D3FF17E" w14:textId="50EA7898" w:rsidR="00D10B14" w:rsidRPr="00D10B14" w:rsidRDefault="00613D3F" w:rsidP="00D10B14">
            <w:pPr>
              <w:spacing w:line="240" w:lineRule="auto"/>
              <w:jc w:val="center"/>
              <w:rPr>
                <w:rFonts w:eastAsia="Times New Roman"/>
                <w:i/>
                <w:iCs/>
                <w:color w:val="000000"/>
                <w:lang w:eastAsia="en-US"/>
              </w:rPr>
            </w:pPr>
            <w:r w:rsidRPr="00613D3F">
              <w:rPr>
                <w:rFonts w:eastAsia="Times New Roman"/>
                <w:color w:val="000000"/>
                <w:lang w:eastAsia="en-US"/>
              </w:rPr>
              <w:t>315.77</w:t>
            </w:r>
            <w:r w:rsidR="00D10B14" w:rsidRPr="00D10B14">
              <w:rPr>
                <w:rFonts w:eastAsia="Times New Roman"/>
                <w:i/>
                <w:iCs/>
                <w:color w:val="000000"/>
                <w:lang w:eastAsia="en-US"/>
              </w:rPr>
              <w:t> </w:t>
            </w:r>
          </w:p>
        </w:tc>
        <w:tc>
          <w:tcPr>
            <w:tcW w:w="1836" w:type="dxa"/>
            <w:tcBorders>
              <w:top w:val="nil"/>
              <w:left w:val="nil"/>
              <w:bottom w:val="single" w:sz="8" w:space="0" w:color="auto"/>
              <w:right w:val="nil"/>
            </w:tcBorders>
            <w:noWrap/>
            <w:vAlign w:val="center"/>
            <w:hideMark/>
          </w:tcPr>
          <w:p w14:paraId="79205114" w14:textId="77777777" w:rsidR="00D10B14" w:rsidRPr="00D10B14" w:rsidRDefault="00D10B14" w:rsidP="00D10B14">
            <w:pPr>
              <w:spacing w:line="240" w:lineRule="auto"/>
              <w:jc w:val="center"/>
              <w:rPr>
                <w:rFonts w:eastAsia="Times New Roman"/>
                <w:color w:val="000000"/>
                <w:lang w:eastAsia="en-US"/>
              </w:rPr>
            </w:pPr>
            <w:r w:rsidRPr="00D10B14">
              <w:rPr>
                <w:rFonts w:eastAsia="Times New Roman"/>
                <w:color w:val="000000"/>
                <w:lang w:eastAsia="en-US"/>
              </w:rPr>
              <w:t>45° / -52°</w:t>
            </w:r>
          </w:p>
        </w:tc>
        <w:tc>
          <w:tcPr>
            <w:tcW w:w="1756" w:type="dxa"/>
            <w:tcBorders>
              <w:top w:val="nil"/>
              <w:left w:val="nil"/>
              <w:bottom w:val="single" w:sz="8" w:space="0" w:color="auto"/>
              <w:right w:val="nil"/>
            </w:tcBorders>
            <w:noWrap/>
            <w:vAlign w:val="center"/>
            <w:hideMark/>
          </w:tcPr>
          <w:p w14:paraId="67D35217"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183.12</w:t>
            </w:r>
          </w:p>
        </w:tc>
        <w:tc>
          <w:tcPr>
            <w:tcW w:w="1756" w:type="dxa"/>
            <w:tcBorders>
              <w:top w:val="nil"/>
              <w:left w:val="nil"/>
              <w:bottom w:val="single" w:sz="8" w:space="0" w:color="auto"/>
              <w:right w:val="nil"/>
            </w:tcBorders>
            <w:noWrap/>
            <w:vAlign w:val="center"/>
            <w:hideMark/>
          </w:tcPr>
          <w:p w14:paraId="310136DD"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188.4</w:t>
            </w:r>
          </w:p>
        </w:tc>
        <w:tc>
          <w:tcPr>
            <w:tcW w:w="1756" w:type="dxa"/>
            <w:tcBorders>
              <w:top w:val="nil"/>
              <w:left w:val="nil"/>
              <w:bottom w:val="single" w:sz="8" w:space="0" w:color="auto"/>
              <w:right w:val="nil"/>
            </w:tcBorders>
            <w:noWrap/>
            <w:vAlign w:val="center"/>
            <w:hideMark/>
          </w:tcPr>
          <w:p w14:paraId="16A29574"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5.27</w:t>
            </w:r>
          </w:p>
        </w:tc>
        <w:tc>
          <w:tcPr>
            <w:tcW w:w="1748" w:type="dxa"/>
            <w:tcBorders>
              <w:top w:val="nil"/>
              <w:left w:val="nil"/>
              <w:bottom w:val="single" w:sz="8" w:space="0" w:color="auto"/>
              <w:right w:val="single" w:sz="8" w:space="0" w:color="auto"/>
            </w:tcBorders>
            <w:noWrap/>
            <w:vAlign w:val="center"/>
            <w:hideMark/>
          </w:tcPr>
          <w:p w14:paraId="764C3C75" w14:textId="77777777" w:rsidR="00D10B14" w:rsidRPr="00D10B14" w:rsidRDefault="00D10B14" w:rsidP="00D10B14">
            <w:pPr>
              <w:spacing w:line="240" w:lineRule="auto"/>
              <w:jc w:val="center"/>
              <w:rPr>
                <w:rFonts w:ascii="Aptos Narrow" w:eastAsia="Times New Roman" w:hAnsi="Aptos Narrow" w:cs="Times New Roman"/>
                <w:color w:val="000000"/>
                <w:lang w:eastAsia="en-US"/>
              </w:rPr>
            </w:pPr>
            <w:r w:rsidRPr="00D10B14">
              <w:rPr>
                <w:rFonts w:ascii="Aptos Narrow" w:eastAsia="Times New Roman" w:hAnsi="Aptos Narrow" w:cs="Times New Roman"/>
                <w:color w:val="000000"/>
                <w:lang w:eastAsia="en-US"/>
              </w:rPr>
              <w:t>0.4</w:t>
            </w:r>
          </w:p>
        </w:tc>
      </w:tr>
    </w:tbl>
    <w:p w14:paraId="2D57F650" w14:textId="77777777" w:rsidR="00D10B14" w:rsidRDefault="00D10B14" w:rsidP="00AF4C09">
      <w:pPr>
        <w:spacing w:line="240" w:lineRule="auto"/>
        <w:jc w:val="both"/>
        <w:rPr>
          <w:b/>
          <w:bCs/>
          <w:noProof/>
        </w:rPr>
      </w:pPr>
    </w:p>
    <w:p w14:paraId="6FE8FD74" w14:textId="72DA3443" w:rsidR="00CA5B19" w:rsidRPr="009A69F4" w:rsidRDefault="00CA5B19" w:rsidP="007B1C97">
      <w:pPr>
        <w:spacing w:line="240" w:lineRule="auto"/>
        <w:jc w:val="center"/>
        <w:rPr>
          <w:b/>
          <w:bCs/>
        </w:rPr>
      </w:pPr>
      <w:r w:rsidRPr="009A69F4">
        <w:rPr>
          <w:b/>
          <w:bCs/>
        </w:rPr>
        <w:t xml:space="preserve">Table 1. </w:t>
      </w:r>
      <w:r w:rsidR="00613D3F">
        <w:rPr>
          <w:b/>
          <w:bCs/>
        </w:rPr>
        <w:t xml:space="preserve">Results </w:t>
      </w:r>
      <w:r w:rsidR="00D026AB" w:rsidRPr="009A69F4">
        <w:rPr>
          <w:b/>
          <w:bCs/>
        </w:rPr>
        <w:t xml:space="preserve">from </w:t>
      </w:r>
      <w:r w:rsidR="00613D3F">
        <w:rPr>
          <w:b/>
          <w:bCs/>
        </w:rPr>
        <w:t>the latest</w:t>
      </w:r>
      <w:r w:rsidR="00D026AB" w:rsidRPr="009A69F4">
        <w:rPr>
          <w:b/>
          <w:bCs/>
        </w:rPr>
        <w:t xml:space="preserve"> batch of drill holes.</w:t>
      </w:r>
      <w:r w:rsidR="00661FFB" w:rsidRPr="009A69F4">
        <w:rPr>
          <w:b/>
          <w:bCs/>
        </w:rPr>
        <w:t xml:space="preserve"> There is insufficient geological information to estimate a true width for the drill intercepts reported.</w:t>
      </w:r>
    </w:p>
    <w:p w14:paraId="6710FDDA" w14:textId="77777777" w:rsidR="00B9514A" w:rsidRPr="00D10B14" w:rsidRDefault="00B9514A" w:rsidP="00AF4C09">
      <w:pPr>
        <w:spacing w:line="240" w:lineRule="auto"/>
        <w:jc w:val="both"/>
        <w:rPr>
          <w:b/>
          <w:bCs/>
          <w:highlight w:val="yellow"/>
        </w:rPr>
      </w:pPr>
    </w:p>
    <w:p w14:paraId="44BDFBBB" w14:textId="793BDE46" w:rsidR="005B3162" w:rsidRPr="00E838EE" w:rsidRDefault="005B3162" w:rsidP="00613D3F">
      <w:pPr>
        <w:spacing w:line="240" w:lineRule="auto"/>
        <w:jc w:val="both"/>
        <w:rPr>
          <w:b/>
          <w:bCs/>
          <w:u w:val="single"/>
        </w:rPr>
      </w:pPr>
      <w:r w:rsidRPr="00E838EE">
        <w:rPr>
          <w:b/>
          <w:bCs/>
          <w:u w:val="single"/>
        </w:rPr>
        <w:t xml:space="preserve">Completed </w:t>
      </w:r>
      <w:r w:rsidR="00E838EE">
        <w:rPr>
          <w:b/>
          <w:bCs/>
          <w:u w:val="single"/>
        </w:rPr>
        <w:t>H</w:t>
      </w:r>
      <w:r w:rsidRPr="00E838EE">
        <w:rPr>
          <w:b/>
          <w:bCs/>
          <w:u w:val="single"/>
        </w:rPr>
        <w:t xml:space="preserve">ole </w:t>
      </w:r>
      <w:r w:rsidR="00E838EE">
        <w:rPr>
          <w:b/>
          <w:bCs/>
          <w:u w:val="single"/>
        </w:rPr>
        <w:t>S</w:t>
      </w:r>
      <w:r w:rsidRPr="00E838EE">
        <w:rPr>
          <w:b/>
          <w:bCs/>
          <w:u w:val="single"/>
        </w:rPr>
        <w:t>ummaries</w:t>
      </w:r>
      <w:r w:rsidR="00E838EE">
        <w:rPr>
          <w:b/>
          <w:bCs/>
          <w:u w:val="single"/>
        </w:rPr>
        <w:t xml:space="preserve"> - R</w:t>
      </w:r>
      <w:r w:rsidRPr="00E838EE">
        <w:rPr>
          <w:b/>
          <w:bCs/>
          <w:u w:val="single"/>
        </w:rPr>
        <w:t xml:space="preserve">eported </w:t>
      </w:r>
      <w:r w:rsidR="00E838EE">
        <w:rPr>
          <w:b/>
          <w:bCs/>
          <w:u w:val="single"/>
        </w:rPr>
        <w:t>R</w:t>
      </w:r>
      <w:r w:rsidRPr="00E838EE">
        <w:rPr>
          <w:b/>
          <w:bCs/>
          <w:u w:val="single"/>
        </w:rPr>
        <w:t>esults</w:t>
      </w:r>
    </w:p>
    <w:p w14:paraId="08AB20B9" w14:textId="77777777" w:rsidR="005B3162" w:rsidRDefault="005B3162" w:rsidP="00613D3F">
      <w:pPr>
        <w:spacing w:line="240" w:lineRule="auto"/>
        <w:jc w:val="both"/>
        <w:rPr>
          <w:b/>
          <w:bCs/>
        </w:rPr>
      </w:pPr>
    </w:p>
    <w:p w14:paraId="334F719F" w14:textId="476F01F6" w:rsidR="00E7698C" w:rsidRPr="00E7698C" w:rsidRDefault="002833F3" w:rsidP="00613D3F">
      <w:pPr>
        <w:spacing w:line="240" w:lineRule="auto"/>
        <w:jc w:val="both"/>
      </w:pPr>
      <w:r w:rsidRPr="00E7698C">
        <w:rPr>
          <w:b/>
          <w:bCs/>
        </w:rPr>
        <w:t xml:space="preserve">Hole </w:t>
      </w:r>
      <w:r w:rsidRPr="00613D3F">
        <w:rPr>
          <w:b/>
          <w:bCs/>
        </w:rPr>
        <w:t>25MN-02</w:t>
      </w:r>
      <w:r w:rsidR="00E7698C" w:rsidRPr="00613D3F">
        <w:rPr>
          <w:b/>
          <w:bCs/>
        </w:rPr>
        <w:t>7</w:t>
      </w:r>
      <w:r w:rsidR="00B13E20" w:rsidRPr="00613D3F">
        <w:t xml:space="preserve">, </w:t>
      </w:r>
      <w:r w:rsidR="00E7698C" w:rsidRPr="00613D3F">
        <w:t xml:space="preserve">contained three intervals, all hosted in fine grained clastic units, of </w:t>
      </w:r>
      <w:r w:rsidR="00613D3F" w:rsidRPr="00613D3F">
        <w:t>3.78</w:t>
      </w:r>
      <w:r w:rsidR="00E7698C" w:rsidRPr="00613D3F">
        <w:t xml:space="preserve"> m, </w:t>
      </w:r>
      <w:r w:rsidR="00613D3F" w:rsidRPr="00613D3F">
        <w:t>5.41</w:t>
      </w:r>
      <w:r w:rsidR="00E7698C" w:rsidRPr="00613D3F">
        <w:t xml:space="preserve"> m and </w:t>
      </w:r>
      <w:r w:rsidR="00613D3F" w:rsidRPr="00613D3F">
        <w:t>8.78</w:t>
      </w:r>
      <w:r w:rsidR="00E7698C" w:rsidRPr="00613D3F">
        <w:t xml:space="preserve"> m grading </w:t>
      </w:r>
      <w:r w:rsidR="00613D3F" w:rsidRPr="00613D3F">
        <w:t>0.38</w:t>
      </w:r>
      <w:r w:rsidR="00E7698C" w:rsidRPr="00613D3F">
        <w:t xml:space="preserve"> g/t gold, </w:t>
      </w:r>
      <w:r w:rsidR="00613D3F" w:rsidRPr="00613D3F">
        <w:t>0.25</w:t>
      </w:r>
      <w:r w:rsidR="00E7698C" w:rsidRPr="00613D3F">
        <w:t xml:space="preserve"> g/t gold and 0.</w:t>
      </w:r>
      <w:r w:rsidR="00613D3F" w:rsidRPr="00613D3F">
        <w:t>52</w:t>
      </w:r>
      <w:r w:rsidR="00E7698C" w:rsidRPr="00613D3F">
        <w:t xml:space="preserve"> g/t gold respectively</w:t>
      </w:r>
      <w:r w:rsidR="00613D3F" w:rsidRPr="00613D3F">
        <w:t>. The first of these intervals falls within the IRCP and the latter two intercepts</w:t>
      </w:r>
      <w:r w:rsidR="00E7698C" w:rsidRPr="00613D3F">
        <w:t xml:space="preserve"> a</w:t>
      </w:r>
      <w:r w:rsidR="00613D3F" w:rsidRPr="00613D3F">
        <w:t>re</w:t>
      </w:r>
      <w:r w:rsidR="00E7698C" w:rsidRPr="00613D3F">
        <w:t xml:space="preserve"> located </w:t>
      </w:r>
      <w:r w:rsidR="00613D3F" w:rsidRPr="00613D3F">
        <w:t>50</w:t>
      </w:r>
      <w:r w:rsidR="00E7698C" w:rsidRPr="00613D3F">
        <w:t xml:space="preserve"> m and 1</w:t>
      </w:r>
      <w:r w:rsidR="00613D3F" w:rsidRPr="00613D3F">
        <w:t>7</w:t>
      </w:r>
      <w:r w:rsidR="00E7698C" w:rsidRPr="00613D3F">
        <w:t xml:space="preserve">0 m </w:t>
      </w:r>
      <w:r w:rsidR="00613D3F" w:rsidRPr="00613D3F">
        <w:t xml:space="preserve">respectively, </w:t>
      </w:r>
      <w:r w:rsidR="00E7698C" w:rsidRPr="00613D3F">
        <w:t>below the IRCP.</w:t>
      </w:r>
      <w:r w:rsidR="00613D3F" w:rsidRPr="00E7698C">
        <w:t xml:space="preserve"> </w:t>
      </w:r>
    </w:p>
    <w:p w14:paraId="3A83395F" w14:textId="77777777" w:rsidR="00BC09A0" w:rsidRPr="00E7698C" w:rsidRDefault="00BC09A0" w:rsidP="00BC09A0">
      <w:pPr>
        <w:spacing w:line="240" w:lineRule="auto"/>
        <w:jc w:val="both"/>
      </w:pPr>
    </w:p>
    <w:p w14:paraId="71CC4B27" w14:textId="65B45CF4" w:rsidR="00E7698C" w:rsidRDefault="00BC09A0" w:rsidP="00BC09A0">
      <w:pPr>
        <w:spacing w:line="240" w:lineRule="auto"/>
        <w:jc w:val="both"/>
      </w:pPr>
      <w:r w:rsidRPr="00E7698C">
        <w:rPr>
          <w:b/>
          <w:bCs/>
        </w:rPr>
        <w:t>Hole 25MN-</w:t>
      </w:r>
      <w:r w:rsidR="00E7698C">
        <w:rPr>
          <w:b/>
          <w:bCs/>
        </w:rPr>
        <w:t>0</w:t>
      </w:r>
      <w:r w:rsidRPr="00E7698C">
        <w:rPr>
          <w:b/>
          <w:bCs/>
        </w:rPr>
        <w:t>2</w:t>
      </w:r>
      <w:r w:rsidR="00E7698C" w:rsidRPr="00E7698C">
        <w:rPr>
          <w:b/>
          <w:bCs/>
        </w:rPr>
        <w:t>8</w:t>
      </w:r>
      <w:r w:rsidRPr="00E7698C">
        <w:t xml:space="preserve">, </w:t>
      </w:r>
      <w:r w:rsidR="00E7698C">
        <w:t xml:space="preserve">contained four intervals. The uppermost interval of 3.84 m grading 0.25 g/t gold located at the base of </w:t>
      </w:r>
      <w:r w:rsidR="00613D3F">
        <w:t>a</w:t>
      </w:r>
      <w:r w:rsidR="00E7698C">
        <w:t xml:space="preserve"> limestone unit, approximately at the IRCP wall. The lower three intervals, all hosted in argillites, of 2.53 m, 7.54 m and 3.34 m grading 2.71 g/t gold, 0.23 g/t gold and 0.49 g/t gold respectively, and located 80 m, 180 m and 190 m below the IRCP.</w:t>
      </w:r>
    </w:p>
    <w:p w14:paraId="12550068" w14:textId="77777777" w:rsidR="00B13E20" w:rsidRPr="00E7698C" w:rsidRDefault="00B13E20" w:rsidP="00AF4C09">
      <w:pPr>
        <w:spacing w:line="240" w:lineRule="auto"/>
        <w:jc w:val="both"/>
      </w:pPr>
    </w:p>
    <w:p w14:paraId="13A1308F" w14:textId="482A9651" w:rsidR="00E7698C" w:rsidRPr="00E7698C" w:rsidRDefault="00B13E20" w:rsidP="00AF4C09">
      <w:pPr>
        <w:spacing w:line="240" w:lineRule="auto"/>
        <w:jc w:val="both"/>
      </w:pPr>
      <w:r w:rsidRPr="00E7698C">
        <w:rPr>
          <w:b/>
          <w:bCs/>
        </w:rPr>
        <w:t>Hole 25MN-02</w:t>
      </w:r>
      <w:r w:rsidR="00E7698C">
        <w:rPr>
          <w:b/>
          <w:bCs/>
        </w:rPr>
        <w:t>9</w:t>
      </w:r>
      <w:r w:rsidR="00E7698C">
        <w:t xml:space="preserve">, was an exploration drill hole testing a deep, distal structural target located between the Reliance Trend and Mustang </w:t>
      </w:r>
      <w:r w:rsidR="00613D3F">
        <w:t>Hill and</w:t>
      </w:r>
      <w:r w:rsidR="00E7698C">
        <w:t xml:space="preserve"> returned no reportable intercepts.</w:t>
      </w:r>
    </w:p>
    <w:p w14:paraId="594847E5" w14:textId="77777777" w:rsidR="00CA5B19" w:rsidRPr="00E7698C" w:rsidRDefault="00CA5B19" w:rsidP="00AF4C09">
      <w:pPr>
        <w:spacing w:line="240" w:lineRule="auto"/>
        <w:jc w:val="both"/>
      </w:pPr>
    </w:p>
    <w:p w14:paraId="1F2EB470" w14:textId="3B4517B9" w:rsidR="005868DB" w:rsidRDefault="005868DB" w:rsidP="00AF4C09">
      <w:pPr>
        <w:spacing w:line="240" w:lineRule="auto"/>
        <w:jc w:val="both"/>
      </w:pPr>
      <w:r w:rsidRPr="00E7698C">
        <w:rPr>
          <w:b/>
          <w:bCs/>
        </w:rPr>
        <w:t>Hole 25MN-</w:t>
      </w:r>
      <w:r w:rsidR="00E7698C">
        <w:rPr>
          <w:b/>
          <w:bCs/>
        </w:rPr>
        <w:t>030</w:t>
      </w:r>
      <w:r w:rsidR="00D02D73" w:rsidRPr="00E7698C">
        <w:t xml:space="preserve">, </w:t>
      </w:r>
      <w:r w:rsidR="00E7698C">
        <w:t xml:space="preserve">was drilled in the area of the </w:t>
      </w:r>
      <w:proofErr w:type="spellStart"/>
      <w:r w:rsidR="00E7698C">
        <w:t>Goldwedge</w:t>
      </w:r>
      <w:proofErr w:type="spellEnd"/>
      <w:r w:rsidR="00E7698C">
        <w:t xml:space="preserve"> Mine and contained four intervals: 32 m grading 0.36 g/t gold from 29.57 m, less than 50 m behind the upper part of the IRCP; and two further intervals of 8.53 m grading 0.43 g/t gold and 9.63 m grading 0.24 g/t gold from 189.89 m and 204.37 m respectively, both in phyllites and 70-80 m below the IRCP; and 7.38 m grading 2.21 g/t gold from </w:t>
      </w:r>
      <w:r w:rsidR="00E7698C" w:rsidRPr="00D10B14">
        <w:t>222.14</w:t>
      </w:r>
      <w:r w:rsidR="00E7698C">
        <w:t xml:space="preserve"> m along the Reliance Trend in phyllites and approximately 100 m below the northern end of the IRCP.</w:t>
      </w:r>
    </w:p>
    <w:p w14:paraId="5B5B4AE3" w14:textId="77777777" w:rsidR="00D02D73" w:rsidRDefault="00D02D73" w:rsidP="00AF4C09">
      <w:pPr>
        <w:spacing w:line="240" w:lineRule="auto"/>
        <w:jc w:val="both"/>
      </w:pPr>
    </w:p>
    <w:p w14:paraId="05BF2581" w14:textId="5AA0D2D4" w:rsidR="00E7698C" w:rsidRDefault="0007171F" w:rsidP="00AF4C09">
      <w:pPr>
        <w:spacing w:line="240" w:lineRule="auto"/>
        <w:jc w:val="both"/>
      </w:pPr>
      <w:r w:rsidRPr="0007171F">
        <w:rPr>
          <w:noProof/>
        </w:rPr>
        <w:lastRenderedPageBreak/>
        <w:drawing>
          <wp:inline distT="0" distB="0" distL="0" distR="0" wp14:anchorId="66C4EB2D" wp14:editId="7376DE67">
            <wp:extent cx="6858000" cy="4267200"/>
            <wp:effectExtent l="19050" t="19050" r="19050" b="19050"/>
            <wp:docPr id="48597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79542" name=""/>
                    <pic:cNvPicPr/>
                  </pic:nvPicPr>
                  <pic:blipFill>
                    <a:blip r:embed="rId15"/>
                    <a:stretch>
                      <a:fillRect/>
                    </a:stretch>
                  </pic:blipFill>
                  <pic:spPr>
                    <a:xfrm>
                      <a:off x="0" y="0"/>
                      <a:ext cx="6858000" cy="4267200"/>
                    </a:xfrm>
                    <a:prstGeom prst="rect">
                      <a:avLst/>
                    </a:prstGeom>
                    <a:ln>
                      <a:solidFill>
                        <a:schemeClr val="tx1"/>
                      </a:solidFill>
                    </a:ln>
                  </pic:spPr>
                </pic:pic>
              </a:graphicData>
            </a:graphic>
          </wp:inline>
        </w:drawing>
      </w:r>
    </w:p>
    <w:p w14:paraId="6951D166" w14:textId="75C74161" w:rsidR="00E7698C" w:rsidRPr="00E7698C" w:rsidRDefault="00E7698C" w:rsidP="007B1C97">
      <w:pPr>
        <w:spacing w:line="240" w:lineRule="auto"/>
        <w:jc w:val="center"/>
        <w:rPr>
          <w:b/>
          <w:bCs/>
        </w:rPr>
      </w:pPr>
      <w:r w:rsidRPr="00E7698C">
        <w:rPr>
          <w:b/>
          <w:bCs/>
        </w:rPr>
        <w:t xml:space="preserve">Figure </w:t>
      </w:r>
      <w:r w:rsidR="00B82E73">
        <w:rPr>
          <w:b/>
          <w:bCs/>
        </w:rPr>
        <w:t>2</w:t>
      </w:r>
      <w:r w:rsidRPr="00342A5A">
        <w:rPr>
          <w:b/>
          <w:bCs/>
        </w:rPr>
        <w:t>.</w:t>
      </w:r>
      <w:r w:rsidR="00BD7B35">
        <w:rPr>
          <w:b/>
          <w:bCs/>
        </w:rPr>
        <w:t xml:space="preserve"> </w:t>
      </w:r>
      <w:r w:rsidRPr="00342A5A">
        <w:rPr>
          <w:b/>
          <w:bCs/>
        </w:rPr>
        <w:t>Section A-A, along trace of the of hole 25MN-030 showing gold grades and geology, with reported intervals highlighted, modelled structural features and trace of IRCP</w:t>
      </w:r>
    </w:p>
    <w:p w14:paraId="286464DE" w14:textId="77777777" w:rsidR="00E7698C" w:rsidRPr="00E7698C" w:rsidRDefault="00E7698C" w:rsidP="00AF4C09">
      <w:pPr>
        <w:spacing w:line="240" w:lineRule="auto"/>
        <w:jc w:val="both"/>
      </w:pPr>
    </w:p>
    <w:p w14:paraId="6C2F8F7A" w14:textId="1C0E6D25" w:rsidR="00E7698C" w:rsidRDefault="00D02D73" w:rsidP="00E7698C">
      <w:pPr>
        <w:spacing w:line="240" w:lineRule="auto"/>
        <w:jc w:val="both"/>
      </w:pPr>
      <w:r w:rsidRPr="00E7698C">
        <w:rPr>
          <w:b/>
          <w:bCs/>
        </w:rPr>
        <w:t>Hole 25MN-</w:t>
      </w:r>
      <w:r w:rsidR="00E7698C">
        <w:rPr>
          <w:b/>
          <w:bCs/>
        </w:rPr>
        <w:t>031</w:t>
      </w:r>
      <w:r w:rsidR="00E7698C">
        <w:t xml:space="preserve"> was drilled at the northern end of the historic West Pit and contained six intervals. The upper four intervals were located within the IRCP: 21.34 m grading 0.30 g/t gold from 34.75 m within limestones; 22.40 m grading 0.26 g/t gold from 121.92 m in phyllites including 8.95 m grading 1.34 g/t gold in a splay of the Reliance Fault from 170.67 m; 2.77 m grading 3.54 g/t gold from 205.71 m, also in a splay of the Reliance Fault</w:t>
      </w:r>
      <w:r w:rsidR="00613D3F">
        <w:t>, hosted</w:t>
      </w:r>
      <w:r w:rsidR="00E7698C">
        <w:t xml:space="preserve"> in phyllites. The lower two phyllite hosted intercepts of 3.12 m grading 0.23 g/t gold and 3.75 m grading 0.44 g/t gold from 218.10 m and 256.40 m respectively down hole, and 10 m and 75 m respectively below the IRCP.</w:t>
      </w:r>
    </w:p>
    <w:p w14:paraId="0446D81E" w14:textId="77777777" w:rsidR="00411785" w:rsidRPr="00E7698C" w:rsidRDefault="00411785" w:rsidP="00547C8D">
      <w:pPr>
        <w:spacing w:line="240" w:lineRule="auto"/>
        <w:jc w:val="both"/>
      </w:pPr>
    </w:p>
    <w:p w14:paraId="1E42BA3A" w14:textId="06E2A6EF" w:rsidR="00BC09A0" w:rsidRDefault="00547C8D" w:rsidP="00AF4C09">
      <w:pPr>
        <w:spacing w:line="240" w:lineRule="auto"/>
        <w:jc w:val="both"/>
      </w:pPr>
      <w:r w:rsidRPr="00E7698C">
        <w:rPr>
          <w:b/>
          <w:bCs/>
        </w:rPr>
        <w:t>Hole 25MN-</w:t>
      </w:r>
      <w:r w:rsidR="00E7698C">
        <w:rPr>
          <w:b/>
          <w:bCs/>
        </w:rPr>
        <w:t>032</w:t>
      </w:r>
      <w:r w:rsidR="00E7698C">
        <w:t xml:space="preserve"> contained two argillite hosted intervals of 5.70 m grading 0.2 g/t gold from 111.65 m, approximately 40 m to the west of the IRCP and 4.63 m grading 0.33 g/t gold from 163.56 m in a fault zone, parallel to the mapped Brougher Fault, and approximately 70 m from the bottom of the IRCP.</w:t>
      </w:r>
    </w:p>
    <w:p w14:paraId="44BCA753" w14:textId="77777777" w:rsidR="00E7698C" w:rsidRPr="00E7698C" w:rsidRDefault="00E7698C" w:rsidP="00AF4C09">
      <w:pPr>
        <w:spacing w:line="240" w:lineRule="auto"/>
        <w:jc w:val="both"/>
      </w:pPr>
    </w:p>
    <w:p w14:paraId="6B91BDBA" w14:textId="402AC38A" w:rsidR="00BC09A0" w:rsidRDefault="00BC09A0" w:rsidP="00AF4C09">
      <w:pPr>
        <w:spacing w:line="240" w:lineRule="auto"/>
        <w:jc w:val="both"/>
      </w:pPr>
      <w:r w:rsidRPr="00E7698C">
        <w:rPr>
          <w:b/>
          <w:bCs/>
        </w:rPr>
        <w:t>Hole 25MN-</w:t>
      </w:r>
      <w:r w:rsidR="00E7698C">
        <w:rPr>
          <w:b/>
          <w:bCs/>
        </w:rPr>
        <w:t>03</w:t>
      </w:r>
      <w:r w:rsidRPr="00E7698C">
        <w:rPr>
          <w:b/>
          <w:bCs/>
        </w:rPr>
        <w:t>3</w:t>
      </w:r>
      <w:r w:rsidRPr="00E7698C">
        <w:t>,</w:t>
      </w:r>
      <w:r w:rsidR="00E7698C">
        <w:t xml:space="preserve"> was drilled along the IRCP wall and intercepted 1.37 m grading 4.17 g/t gold from 6.10 m in a structure hosted in phyllites and 5.27 m grading 0.40 g/t gold from 187.12 m in a similar setting and located approximately 25 m below the IRCP.</w:t>
      </w:r>
    </w:p>
    <w:p w14:paraId="5B772201" w14:textId="77777777" w:rsidR="00B82E73" w:rsidRDefault="00B82E73" w:rsidP="00AF4C09">
      <w:pPr>
        <w:spacing w:line="240" w:lineRule="auto"/>
        <w:jc w:val="both"/>
      </w:pPr>
    </w:p>
    <w:p w14:paraId="2B6E3D94" w14:textId="5DF25576" w:rsidR="005B3162" w:rsidRPr="00E838EE" w:rsidRDefault="00B82E73" w:rsidP="00AF4C09">
      <w:pPr>
        <w:spacing w:line="240" w:lineRule="auto"/>
        <w:jc w:val="both"/>
        <w:rPr>
          <w:b/>
          <w:bCs/>
          <w:u w:val="single"/>
        </w:rPr>
      </w:pPr>
      <w:r w:rsidRPr="00E838EE">
        <w:rPr>
          <w:b/>
          <w:bCs/>
          <w:u w:val="single"/>
        </w:rPr>
        <w:t xml:space="preserve">Completed </w:t>
      </w:r>
      <w:r w:rsidR="00E838EE">
        <w:rPr>
          <w:b/>
          <w:bCs/>
          <w:u w:val="single"/>
        </w:rPr>
        <w:t>H</w:t>
      </w:r>
      <w:r w:rsidRPr="00E838EE">
        <w:rPr>
          <w:b/>
          <w:bCs/>
          <w:u w:val="single"/>
        </w:rPr>
        <w:t xml:space="preserve">ole </w:t>
      </w:r>
      <w:r w:rsidR="00E838EE">
        <w:rPr>
          <w:b/>
          <w:bCs/>
          <w:u w:val="single"/>
        </w:rPr>
        <w:t>S</w:t>
      </w:r>
      <w:r w:rsidRPr="00E838EE">
        <w:rPr>
          <w:b/>
          <w:bCs/>
          <w:u w:val="single"/>
        </w:rPr>
        <w:t>ummaries</w:t>
      </w:r>
      <w:r w:rsidR="00E838EE">
        <w:rPr>
          <w:b/>
          <w:bCs/>
          <w:u w:val="single"/>
        </w:rPr>
        <w:t xml:space="preserve"> - A</w:t>
      </w:r>
      <w:r w:rsidRPr="00E838EE">
        <w:rPr>
          <w:b/>
          <w:bCs/>
          <w:u w:val="single"/>
        </w:rPr>
        <w:t xml:space="preserve">ssays </w:t>
      </w:r>
      <w:r w:rsidR="00E838EE">
        <w:rPr>
          <w:b/>
          <w:bCs/>
          <w:u w:val="single"/>
        </w:rPr>
        <w:t>P</w:t>
      </w:r>
      <w:r w:rsidRPr="00E838EE">
        <w:rPr>
          <w:b/>
          <w:bCs/>
          <w:u w:val="single"/>
        </w:rPr>
        <w:t xml:space="preserve">ending </w:t>
      </w:r>
    </w:p>
    <w:p w14:paraId="52FA48C5" w14:textId="77777777" w:rsidR="00BB20B3" w:rsidRDefault="00BB20B3" w:rsidP="00AF4C09">
      <w:pPr>
        <w:spacing w:line="240" w:lineRule="auto"/>
        <w:jc w:val="both"/>
        <w:rPr>
          <w:b/>
          <w:bCs/>
        </w:rPr>
      </w:pPr>
    </w:p>
    <w:p w14:paraId="693CD2D7" w14:textId="039E09B5" w:rsidR="00BB20B3" w:rsidRDefault="00D71BAE" w:rsidP="007B1C97">
      <w:pPr>
        <w:spacing w:line="240" w:lineRule="auto"/>
        <w:jc w:val="center"/>
        <w:rPr>
          <w:b/>
          <w:bCs/>
        </w:rPr>
      </w:pPr>
      <w:r w:rsidRPr="00D71BAE">
        <w:rPr>
          <w:b/>
          <w:bCs/>
          <w:noProof/>
        </w:rPr>
        <w:lastRenderedPageBreak/>
        <w:drawing>
          <wp:inline distT="0" distB="0" distL="0" distR="0" wp14:anchorId="60E713A8" wp14:editId="5BCF4744">
            <wp:extent cx="6236020" cy="5886753"/>
            <wp:effectExtent l="19050" t="19050" r="12700" b="19050"/>
            <wp:docPr id="46214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5100" name=""/>
                    <pic:cNvPicPr/>
                  </pic:nvPicPr>
                  <pic:blipFill>
                    <a:blip r:embed="rId16"/>
                    <a:stretch>
                      <a:fillRect/>
                    </a:stretch>
                  </pic:blipFill>
                  <pic:spPr>
                    <a:xfrm>
                      <a:off x="0" y="0"/>
                      <a:ext cx="6236020" cy="5886753"/>
                    </a:xfrm>
                    <a:prstGeom prst="rect">
                      <a:avLst/>
                    </a:prstGeom>
                    <a:ln>
                      <a:solidFill>
                        <a:schemeClr val="tx1"/>
                      </a:solidFill>
                    </a:ln>
                  </pic:spPr>
                </pic:pic>
              </a:graphicData>
            </a:graphic>
          </wp:inline>
        </w:drawing>
      </w:r>
    </w:p>
    <w:p w14:paraId="1DD833AA" w14:textId="323F0BA8" w:rsidR="00B82E73" w:rsidRDefault="00B82E73" w:rsidP="007B1C97">
      <w:pPr>
        <w:spacing w:line="240" w:lineRule="auto"/>
        <w:jc w:val="center"/>
        <w:rPr>
          <w:b/>
          <w:bCs/>
        </w:rPr>
      </w:pPr>
      <w:r>
        <w:rPr>
          <w:b/>
          <w:bCs/>
        </w:rPr>
        <w:t>Figure 3. Location and surface traces of completed holes with assays pending, with modelled structures and Current Inferred Mineral Resource Block Model</w:t>
      </w:r>
      <w:r w:rsidRPr="00B82E73">
        <w:rPr>
          <w:vertAlign w:val="superscript"/>
        </w:rPr>
        <w:t>2</w:t>
      </w:r>
      <w:r>
        <w:rPr>
          <w:b/>
          <w:bCs/>
        </w:rPr>
        <w:t>.</w:t>
      </w:r>
    </w:p>
    <w:p w14:paraId="2A75FC18" w14:textId="77777777" w:rsidR="00B82E73" w:rsidRDefault="00B82E73" w:rsidP="00AF4C09">
      <w:pPr>
        <w:spacing w:line="240" w:lineRule="auto"/>
        <w:jc w:val="both"/>
        <w:rPr>
          <w:b/>
          <w:bCs/>
        </w:rPr>
      </w:pPr>
    </w:p>
    <w:p w14:paraId="53BFC8F1" w14:textId="724F7D68" w:rsidR="00B25952" w:rsidRDefault="00B25952" w:rsidP="00B25952">
      <w:pPr>
        <w:spacing w:line="240" w:lineRule="auto"/>
        <w:jc w:val="both"/>
      </w:pPr>
      <w:r>
        <w:rPr>
          <w:b/>
          <w:bCs/>
        </w:rPr>
        <w:t>25MN-034</w:t>
      </w:r>
      <w:r>
        <w:t>: Drilled on the Reliance Trend at the northern end of the historic West Pit, approximately 50</w:t>
      </w:r>
      <w:r w:rsidR="00E838EE">
        <w:t xml:space="preserve"> </w:t>
      </w:r>
      <w:r>
        <w:t>m to the east northeast of drill hole 25</w:t>
      </w:r>
      <w:r w:rsidR="00E838EE">
        <w:t>MN</w:t>
      </w:r>
      <w:r>
        <w:t>-031.</w:t>
      </w:r>
    </w:p>
    <w:p w14:paraId="7F8C9D23" w14:textId="77777777" w:rsidR="00B25952" w:rsidRPr="00B82E73" w:rsidRDefault="00B25952" w:rsidP="00B25952">
      <w:pPr>
        <w:spacing w:line="240" w:lineRule="auto"/>
        <w:jc w:val="both"/>
      </w:pPr>
    </w:p>
    <w:p w14:paraId="507554E1" w14:textId="09E908C1" w:rsidR="00B25952" w:rsidRDefault="00B25952" w:rsidP="00B25952">
      <w:pPr>
        <w:spacing w:line="240" w:lineRule="auto"/>
        <w:jc w:val="both"/>
      </w:pPr>
      <w:r>
        <w:rPr>
          <w:b/>
          <w:bCs/>
        </w:rPr>
        <w:t>25MN-035</w:t>
      </w:r>
      <w:r>
        <w:t>: Drilled at the southern extension of the historic West Pit, within a structurally complex zone near the intersection of the Nellie Gray and Brougher Parallel Faults.</w:t>
      </w:r>
    </w:p>
    <w:p w14:paraId="40461DAB" w14:textId="77777777" w:rsidR="00B25952" w:rsidRPr="00B82E73" w:rsidRDefault="00B25952" w:rsidP="00B25952">
      <w:pPr>
        <w:spacing w:line="240" w:lineRule="auto"/>
        <w:jc w:val="both"/>
      </w:pPr>
    </w:p>
    <w:p w14:paraId="5CED1278" w14:textId="2286949C" w:rsidR="00B25952" w:rsidRDefault="00B25952" w:rsidP="00B25952">
      <w:pPr>
        <w:spacing w:line="240" w:lineRule="auto"/>
        <w:jc w:val="both"/>
      </w:pPr>
      <w:r>
        <w:rPr>
          <w:b/>
          <w:bCs/>
        </w:rPr>
        <w:t>25MN-036</w:t>
      </w:r>
      <w:r>
        <w:t>: Drilled as a 50</w:t>
      </w:r>
      <w:r w:rsidR="00E838EE">
        <w:t xml:space="preserve"> </w:t>
      </w:r>
      <w:r>
        <w:t>m step out to the north northwest of drill hole 25</w:t>
      </w:r>
      <w:r w:rsidR="00E838EE">
        <w:t>MN</w:t>
      </w:r>
      <w:r>
        <w:t>-034 on the Reliance Trend.</w:t>
      </w:r>
    </w:p>
    <w:p w14:paraId="0DEA6E46" w14:textId="77777777" w:rsidR="00B25952" w:rsidRPr="00B82E73" w:rsidRDefault="00B25952" w:rsidP="00B25952">
      <w:pPr>
        <w:spacing w:line="240" w:lineRule="auto"/>
        <w:jc w:val="both"/>
      </w:pPr>
    </w:p>
    <w:p w14:paraId="75951D63" w14:textId="18DEC39A" w:rsidR="00B25952" w:rsidRDefault="00B25952" w:rsidP="00B25952">
      <w:pPr>
        <w:spacing w:line="240" w:lineRule="auto"/>
        <w:jc w:val="both"/>
      </w:pPr>
      <w:r>
        <w:rPr>
          <w:b/>
          <w:bCs/>
        </w:rPr>
        <w:t>25MN-037</w:t>
      </w:r>
      <w:r>
        <w:t>: Drilled at the southern end of the historic West Pit, approximately 80</w:t>
      </w:r>
      <w:r w:rsidR="00E838EE">
        <w:t xml:space="preserve"> </w:t>
      </w:r>
      <w:r>
        <w:t>m to the east of MN25-033 and approximately 80</w:t>
      </w:r>
      <w:r w:rsidR="00E838EE">
        <w:t xml:space="preserve"> </w:t>
      </w:r>
      <w:r>
        <w:t>m northeast of 25MN-032 in the Stray Dog target area.</w:t>
      </w:r>
    </w:p>
    <w:p w14:paraId="74955460" w14:textId="77777777" w:rsidR="00B25952" w:rsidRPr="00B82E73" w:rsidRDefault="00B25952" w:rsidP="00B25952">
      <w:pPr>
        <w:spacing w:line="240" w:lineRule="auto"/>
        <w:jc w:val="both"/>
      </w:pPr>
    </w:p>
    <w:p w14:paraId="1FD2D8FE" w14:textId="3A07D00D" w:rsidR="00B25952" w:rsidRDefault="00B25952" w:rsidP="00B25952">
      <w:pPr>
        <w:spacing w:line="240" w:lineRule="auto"/>
        <w:jc w:val="both"/>
      </w:pPr>
      <w:r>
        <w:rPr>
          <w:b/>
          <w:bCs/>
        </w:rPr>
        <w:t>25MN-038</w:t>
      </w:r>
      <w:r>
        <w:t>: Drilled at the southern end of the historic West Pit, within a structurally complex zone near the intersection of the Nellie Gray and Brougher Parallel Faults.</w:t>
      </w:r>
    </w:p>
    <w:p w14:paraId="76DB5453" w14:textId="77777777" w:rsidR="00B25952" w:rsidRPr="00B82E73" w:rsidRDefault="00B25952" w:rsidP="00B25952">
      <w:pPr>
        <w:spacing w:line="240" w:lineRule="auto"/>
        <w:jc w:val="both"/>
      </w:pPr>
    </w:p>
    <w:p w14:paraId="573EDC00" w14:textId="3502BC05" w:rsidR="00B25952" w:rsidRDefault="00B25952" w:rsidP="00B25952">
      <w:pPr>
        <w:spacing w:line="240" w:lineRule="auto"/>
        <w:jc w:val="both"/>
      </w:pPr>
      <w:r>
        <w:rPr>
          <w:b/>
          <w:bCs/>
        </w:rPr>
        <w:t>25MN-039</w:t>
      </w:r>
      <w:r>
        <w:t>: Drilled as a 50</w:t>
      </w:r>
      <w:r w:rsidR="00E838EE">
        <w:t xml:space="preserve"> </w:t>
      </w:r>
      <w:r>
        <w:t>m step out on drill hole MN25-036, to the north northwest, on the Reliance Trend.</w:t>
      </w:r>
    </w:p>
    <w:p w14:paraId="218AE2EA" w14:textId="77777777" w:rsidR="00B25952" w:rsidRPr="00B82E73" w:rsidRDefault="00B25952" w:rsidP="00B25952">
      <w:pPr>
        <w:spacing w:line="240" w:lineRule="auto"/>
        <w:jc w:val="both"/>
      </w:pPr>
    </w:p>
    <w:p w14:paraId="682FE899" w14:textId="4EC0C8E9" w:rsidR="00B25952" w:rsidRDefault="00B25952" w:rsidP="00B25952">
      <w:pPr>
        <w:spacing w:line="240" w:lineRule="auto"/>
        <w:jc w:val="both"/>
      </w:pPr>
      <w:r>
        <w:rPr>
          <w:b/>
          <w:bCs/>
        </w:rPr>
        <w:lastRenderedPageBreak/>
        <w:t>25MN-040</w:t>
      </w:r>
      <w:r>
        <w:t>: Drilled as a 50 m step out on hole MN25-038, to the east northeast, in a structurally complex area to the south of the historic West Pit and northwest of the historic USD Pit.</w:t>
      </w:r>
    </w:p>
    <w:p w14:paraId="10FB1B43" w14:textId="77777777" w:rsidR="00B25952" w:rsidRPr="00B82E73" w:rsidRDefault="00B25952" w:rsidP="00B25952">
      <w:pPr>
        <w:spacing w:line="240" w:lineRule="auto"/>
        <w:jc w:val="both"/>
      </w:pPr>
    </w:p>
    <w:p w14:paraId="0C519F7A" w14:textId="76ABA502" w:rsidR="00B25952" w:rsidRDefault="00B25952" w:rsidP="00B25952">
      <w:pPr>
        <w:spacing w:line="240" w:lineRule="auto"/>
        <w:jc w:val="both"/>
      </w:pPr>
      <w:r>
        <w:rPr>
          <w:b/>
          <w:bCs/>
        </w:rPr>
        <w:t>25MN-041</w:t>
      </w:r>
      <w:r w:rsidRPr="00B82E73">
        <w:t>: Drilled in the Gap Zone to test the faulted contact zone between caldera volcanics and older sedimentary units that host the current Inferred Mineral Resource.</w:t>
      </w:r>
    </w:p>
    <w:p w14:paraId="325FBF66" w14:textId="77777777" w:rsidR="00B25952" w:rsidRDefault="00B25952" w:rsidP="00B25952">
      <w:pPr>
        <w:spacing w:line="240" w:lineRule="auto"/>
        <w:jc w:val="both"/>
        <w:rPr>
          <w:b/>
          <w:bCs/>
        </w:rPr>
      </w:pPr>
    </w:p>
    <w:p w14:paraId="1E3E68C0" w14:textId="2CBDEEF2" w:rsidR="00B25952" w:rsidRPr="00B82E73" w:rsidRDefault="00B25952" w:rsidP="00B25952">
      <w:pPr>
        <w:spacing w:line="240" w:lineRule="auto"/>
        <w:jc w:val="both"/>
      </w:pPr>
      <w:r>
        <w:rPr>
          <w:b/>
          <w:bCs/>
        </w:rPr>
        <w:t>25MN-042</w:t>
      </w:r>
      <w:r w:rsidRPr="00B82E73">
        <w:t xml:space="preserve">: </w:t>
      </w:r>
      <w:r>
        <w:t>D</w:t>
      </w:r>
      <w:r w:rsidRPr="00B82E73">
        <w:t>rilled as a 50 m step out on drill hole MN25-039 to the north northwest, on the Reliance Trend.</w:t>
      </w:r>
    </w:p>
    <w:p w14:paraId="5B45462B" w14:textId="77777777" w:rsidR="00B25952" w:rsidRPr="00B82E73" w:rsidRDefault="00B25952" w:rsidP="00B25952">
      <w:pPr>
        <w:spacing w:line="240" w:lineRule="auto"/>
        <w:jc w:val="both"/>
      </w:pPr>
    </w:p>
    <w:p w14:paraId="0BA1D736" w14:textId="1D7653B7" w:rsidR="00B25952" w:rsidRDefault="00B25952" w:rsidP="00B25952">
      <w:pPr>
        <w:spacing w:line="240" w:lineRule="auto"/>
        <w:jc w:val="both"/>
      </w:pPr>
      <w:r>
        <w:rPr>
          <w:b/>
          <w:bCs/>
        </w:rPr>
        <w:t>25MN-043</w:t>
      </w:r>
      <w:r>
        <w:t xml:space="preserve">: Drilled directly north of the historic East Pit, to test for a northerly extension of a mineralized fault splay which hosted significant gold mineralization in the </w:t>
      </w:r>
      <w:r w:rsidR="00BD7B35">
        <w:t>mined-out</w:t>
      </w:r>
      <w:r>
        <w:t xml:space="preserve"> portions of the East Pit.</w:t>
      </w:r>
    </w:p>
    <w:p w14:paraId="5AC9E232" w14:textId="77777777" w:rsidR="00B25952" w:rsidRDefault="00B25952" w:rsidP="00B25952">
      <w:pPr>
        <w:spacing w:line="240" w:lineRule="auto"/>
        <w:jc w:val="both"/>
      </w:pPr>
    </w:p>
    <w:p w14:paraId="0DF77F1E" w14:textId="78029EEC" w:rsidR="00B25952" w:rsidRDefault="00B25952" w:rsidP="00B25952">
      <w:pPr>
        <w:spacing w:line="240" w:lineRule="auto"/>
        <w:jc w:val="both"/>
      </w:pPr>
      <w:r w:rsidRPr="002D6604">
        <w:rPr>
          <w:b/>
          <w:bCs/>
        </w:rPr>
        <w:t>25</w:t>
      </w:r>
      <w:r>
        <w:rPr>
          <w:b/>
          <w:bCs/>
        </w:rPr>
        <w:t>MN</w:t>
      </w:r>
      <w:r w:rsidRPr="002D6604">
        <w:rPr>
          <w:b/>
          <w:bCs/>
        </w:rPr>
        <w:t>-044:</w:t>
      </w:r>
      <w:r>
        <w:t xml:space="preserve"> Drilled largely outside of the current Inferred Mineral Resource to test newly recognized gold mineralization along the faulted contact between caldera volcanics and older sedimentary units.</w:t>
      </w:r>
    </w:p>
    <w:p w14:paraId="6AD46B67" w14:textId="77777777" w:rsidR="00B25952" w:rsidRDefault="00B25952" w:rsidP="00B25952">
      <w:pPr>
        <w:spacing w:line="240" w:lineRule="auto"/>
        <w:jc w:val="both"/>
      </w:pPr>
    </w:p>
    <w:p w14:paraId="0517B9FB" w14:textId="7FC8D0A9" w:rsidR="00B82E73" w:rsidRPr="00B82E73" w:rsidRDefault="00B25952" w:rsidP="00B25952">
      <w:pPr>
        <w:spacing w:line="240" w:lineRule="auto"/>
        <w:jc w:val="both"/>
      </w:pPr>
      <w:r w:rsidRPr="002D6604">
        <w:rPr>
          <w:b/>
          <w:bCs/>
        </w:rPr>
        <w:t>25</w:t>
      </w:r>
      <w:r>
        <w:rPr>
          <w:b/>
          <w:bCs/>
        </w:rPr>
        <w:t>MN</w:t>
      </w:r>
      <w:r w:rsidRPr="002D6604">
        <w:rPr>
          <w:b/>
          <w:bCs/>
        </w:rPr>
        <w:t>-04</w:t>
      </w:r>
      <w:r>
        <w:rPr>
          <w:b/>
          <w:bCs/>
        </w:rPr>
        <w:t>5</w:t>
      </w:r>
      <w:r w:rsidRPr="002D6604">
        <w:rPr>
          <w:b/>
          <w:bCs/>
        </w:rPr>
        <w:t>:</w:t>
      </w:r>
      <w:r>
        <w:t xml:space="preserve"> Drilled largely outside of the current Inferred Mineral Resource to test newly recognized gold mineralization along the faulted contact between caldera volcanics and older sedimentary units.</w:t>
      </w:r>
    </w:p>
    <w:p w14:paraId="2BFC690D" w14:textId="10CC99FA" w:rsidR="00E7698C" w:rsidRDefault="00E7698C" w:rsidP="00AF4C09">
      <w:pPr>
        <w:spacing w:line="240" w:lineRule="auto"/>
        <w:jc w:val="both"/>
      </w:pPr>
    </w:p>
    <w:p w14:paraId="02B1AD19" w14:textId="2E26B750" w:rsidR="00AF4C09" w:rsidRPr="00E7698C" w:rsidRDefault="00AF4C09" w:rsidP="00E7698C">
      <w:pPr>
        <w:rPr>
          <w:noProof/>
        </w:rPr>
      </w:pPr>
      <w:r w:rsidRPr="00FE52C8">
        <w:rPr>
          <w:b/>
          <w:bCs/>
        </w:rPr>
        <w:t>QA/QC</w:t>
      </w:r>
      <w:r w:rsidR="005B3162">
        <w:rPr>
          <w:b/>
          <w:bCs/>
        </w:rPr>
        <w:t xml:space="preserve"> for reported holes</w:t>
      </w:r>
    </w:p>
    <w:p w14:paraId="754A5359" w14:textId="77777777" w:rsidR="00AF4C09" w:rsidRDefault="00AF4C09" w:rsidP="00AF4C09">
      <w:pPr>
        <w:spacing w:line="240" w:lineRule="auto"/>
        <w:jc w:val="both"/>
      </w:pPr>
    </w:p>
    <w:p w14:paraId="3F6C712D" w14:textId="7047E2CB" w:rsidR="00AF4C09" w:rsidRDefault="00AF4C09" w:rsidP="00AF4C09">
      <w:pPr>
        <w:keepNext/>
        <w:keepLines/>
        <w:spacing w:line="240" w:lineRule="auto"/>
        <w:ind w:left="-5"/>
        <w:jc w:val="both"/>
      </w:pPr>
      <w:r w:rsidRPr="00817361">
        <w:t>HQ sized diamond drill core samples were cut in halves</w:t>
      </w:r>
      <w:r>
        <w:t>,</w:t>
      </w:r>
      <w:r w:rsidRPr="00817361">
        <w:t xml:space="preserve"> </w:t>
      </w:r>
      <w:r>
        <w:t>then</w:t>
      </w:r>
      <w:r w:rsidRPr="00817361">
        <w:t xml:space="preserve"> bagged and secured with security tags to ensure integrity during transportation to </w:t>
      </w:r>
      <w:r w:rsidRPr="00F6605B">
        <w:t xml:space="preserve">the Reno, NV, </w:t>
      </w:r>
      <w:r>
        <w:t>Paragon</w:t>
      </w:r>
      <w:r w:rsidRPr="00F6605B">
        <w:t xml:space="preserve"> Geochemi</w:t>
      </w:r>
      <w:r>
        <w:t>cal</w:t>
      </w:r>
      <w:r w:rsidRPr="00F6605B">
        <w:t xml:space="preserve"> facility for preparation. For </w:t>
      </w:r>
      <w:r w:rsidR="000735C2">
        <w:t>q</w:t>
      </w:r>
      <w:r w:rsidRPr="00F6605B">
        <w:t xml:space="preserve">uality </w:t>
      </w:r>
      <w:r w:rsidR="000735C2">
        <w:t>a</w:t>
      </w:r>
      <w:r w:rsidRPr="00F6605B">
        <w:t>ssurance</w:t>
      </w:r>
      <w:r>
        <w:t xml:space="preserve"> (“</w:t>
      </w:r>
      <w:r w:rsidRPr="003534C6">
        <w:rPr>
          <w:b/>
          <w:bCs/>
        </w:rPr>
        <w:t>QA</w:t>
      </w:r>
      <w:r>
        <w:t>”)</w:t>
      </w:r>
      <w:r w:rsidRPr="00F6605B">
        <w:t xml:space="preserve">, unmarked </w:t>
      </w:r>
      <w:r>
        <w:t xml:space="preserve">coarse </w:t>
      </w:r>
      <w:r w:rsidRPr="00F6605B">
        <w:t>blanks</w:t>
      </w:r>
      <w:r>
        <w:t xml:space="preserve">, </w:t>
      </w:r>
      <w:r w:rsidRPr="00F6605B">
        <w:t xml:space="preserve">unmarked certified reference materials, and requested laboratory duplicates were inserted into the sampling sequence. QA samples were systematically inserted into each batch of samples, amounting to approximately </w:t>
      </w:r>
      <w:r w:rsidR="007B1C97">
        <w:t>8</w:t>
      </w:r>
      <w:r w:rsidRPr="00F6605B">
        <w:t xml:space="preserve">% of the run of samples. Samples were analyzed for gold using method </w:t>
      </w:r>
      <w:r>
        <w:t>PA</w:t>
      </w:r>
      <w:r w:rsidRPr="00F6605B">
        <w:t>-A</w:t>
      </w:r>
      <w:r>
        <w:t xml:space="preserve">U02 (~500 g), </w:t>
      </w:r>
      <w:r w:rsidRPr="00F6605B">
        <w:t xml:space="preserve">a </w:t>
      </w:r>
      <w:r>
        <w:t xml:space="preserve">two-cycle </w:t>
      </w:r>
      <w:proofErr w:type="spellStart"/>
      <w:r>
        <w:t>PhotonAssay</w:t>
      </w:r>
      <w:r>
        <w:rPr>
          <w:vertAlign w:val="superscript"/>
        </w:rPr>
        <w:t>TM</w:t>
      </w:r>
      <w:proofErr w:type="spellEnd"/>
      <w:r>
        <w:t xml:space="preserve"> analysis of crushed material (70% passing 2 mm).</w:t>
      </w:r>
      <w:r w:rsidRPr="00F6605B">
        <w:t xml:space="preserve"> All </w:t>
      </w:r>
      <w:r>
        <w:t>Paragon Geochemical</w:t>
      </w:r>
      <w:r w:rsidRPr="00F6605B">
        <w:t xml:space="preserve"> facilities comply with </w:t>
      </w:r>
      <w:r w:rsidRPr="008021BD">
        <w:t>ISO 17025:2017</w:t>
      </w:r>
      <w:r w:rsidRPr="00F6605B">
        <w:t xml:space="preserve">. </w:t>
      </w:r>
    </w:p>
    <w:p w14:paraId="790BE97F" w14:textId="77777777" w:rsidR="001B66F5" w:rsidRDefault="001B66F5" w:rsidP="00AF4C09">
      <w:pPr>
        <w:keepNext/>
        <w:keepLines/>
        <w:spacing w:line="240" w:lineRule="auto"/>
        <w:ind w:left="-5"/>
        <w:jc w:val="both"/>
      </w:pPr>
    </w:p>
    <w:p w14:paraId="01953D26" w14:textId="77777777" w:rsidR="00BB20B3" w:rsidRPr="00A20680" w:rsidRDefault="00BB20B3" w:rsidP="00BB20B3">
      <w:pPr>
        <w:keepNext/>
        <w:spacing w:line="240" w:lineRule="auto"/>
        <w:jc w:val="both"/>
        <w:rPr>
          <w:b/>
          <w:bCs/>
        </w:rPr>
      </w:pPr>
      <w:r w:rsidRPr="00A20680">
        <w:rPr>
          <w:b/>
          <w:bCs/>
        </w:rPr>
        <w:t>About the Manhattan District</w:t>
      </w:r>
    </w:p>
    <w:p w14:paraId="55578AD5" w14:textId="77777777" w:rsidR="00BB20B3" w:rsidRPr="00102060" w:rsidRDefault="00BB20B3" w:rsidP="00BB20B3">
      <w:pPr>
        <w:spacing w:before="100" w:beforeAutospacing="1" w:after="100" w:afterAutospacing="1" w:line="240" w:lineRule="auto"/>
        <w:jc w:val="both"/>
        <w:rPr>
          <w:rFonts w:eastAsia="Times New Roman"/>
          <w:lang w:eastAsia="en-US"/>
        </w:rPr>
      </w:pPr>
      <w:r w:rsidRPr="00102060">
        <w:rPr>
          <w:rFonts w:eastAsia="Times New Roman"/>
          <w:lang w:eastAsia="en-US"/>
        </w:rPr>
        <w:t xml:space="preserve">Manhattan, located </w:t>
      </w:r>
      <w:r>
        <w:rPr>
          <w:rFonts w:eastAsia="Times New Roman"/>
          <w:lang w:eastAsia="en-US"/>
        </w:rPr>
        <w:t>north of the</w:t>
      </w:r>
      <w:r w:rsidRPr="00102060">
        <w:rPr>
          <w:rFonts w:eastAsia="Times New Roman"/>
          <w:lang w:eastAsia="en-US"/>
        </w:rPr>
        <w:t xml:space="preserve"> Walker Lane Trend of Nevada, USA, is road accessible and lies approximately </w:t>
      </w:r>
      <w:r w:rsidRPr="00334221">
        <w:rPr>
          <w:rFonts w:eastAsia="Times New Roman"/>
          <w:lang w:eastAsia="en-US"/>
        </w:rPr>
        <w:t>20 kilometers south of the operating Round Mountain Gold Mine, which has produced more than 15 million ounces of gold.</w:t>
      </w:r>
      <w:r>
        <w:rPr>
          <w:rFonts w:eastAsia="Times New Roman"/>
          <w:lang w:eastAsia="en-US"/>
        </w:rPr>
        <w:t>*</w:t>
      </w:r>
      <w:r w:rsidRPr="00334221">
        <w:rPr>
          <w:rFonts w:eastAsia="Times New Roman"/>
          <w:lang w:eastAsia="en-US"/>
        </w:rPr>
        <w:t xml:space="preserve"> For the first time, the Company has consolidated the </w:t>
      </w:r>
      <w:r>
        <w:rPr>
          <w:rFonts w:eastAsia="Times New Roman"/>
          <w:lang w:eastAsia="en-US"/>
        </w:rPr>
        <w:t>p</w:t>
      </w:r>
      <w:r w:rsidRPr="00334221">
        <w:rPr>
          <w:rFonts w:eastAsia="Times New Roman"/>
          <w:lang w:eastAsia="en-US"/>
        </w:rPr>
        <w:t xml:space="preserve">roject’s past-producing mines under a single entity that holds valuable permitting and water rights. </w:t>
      </w:r>
      <w:r w:rsidRPr="00102060">
        <w:rPr>
          <w:rFonts w:eastAsia="Times New Roman"/>
          <w:lang w:eastAsia="en-US"/>
        </w:rPr>
        <w:t>Historically, Manhattan has produced approximately 700,000 ounces of gold from high-grade placer and lode operations dating from the late 1890s through to the mid-2000s.¹</w:t>
      </w:r>
      <w:r>
        <w:rPr>
          <w:rFonts w:eastAsia="Times New Roman"/>
          <w:lang w:eastAsia="en-US"/>
        </w:rPr>
        <w:t xml:space="preserve"> </w:t>
      </w:r>
      <w:r w:rsidRPr="00102060">
        <w:rPr>
          <w:rFonts w:eastAsia="Times New Roman"/>
          <w:lang w:eastAsia="en-US"/>
        </w:rPr>
        <w:t xml:space="preserve">The maiden mineral resource estimate covering the </w:t>
      </w:r>
      <w:proofErr w:type="spellStart"/>
      <w:r w:rsidRPr="00102060">
        <w:rPr>
          <w:rFonts w:eastAsia="Times New Roman"/>
          <w:lang w:eastAsia="en-US"/>
        </w:rPr>
        <w:t>Goldwedge</w:t>
      </w:r>
      <w:proofErr w:type="spellEnd"/>
      <w:r w:rsidRPr="00102060">
        <w:rPr>
          <w:rFonts w:eastAsia="Times New Roman"/>
          <w:lang w:eastAsia="en-US"/>
        </w:rPr>
        <w:t xml:space="preserve"> and Manhattan Pit areas of the </w:t>
      </w:r>
      <w:r>
        <w:rPr>
          <w:rFonts w:eastAsia="Times New Roman"/>
          <w:lang w:eastAsia="en-US"/>
        </w:rPr>
        <w:t>p</w:t>
      </w:r>
      <w:r w:rsidRPr="00102060">
        <w:rPr>
          <w:rFonts w:eastAsia="Times New Roman"/>
          <w:lang w:eastAsia="en-US"/>
        </w:rPr>
        <w:t>roject is comprised of 18,343,000 tonnes grading 1.26 g/t gold</w:t>
      </w:r>
      <w:r>
        <w:rPr>
          <w:rFonts w:eastAsia="Times New Roman"/>
          <w:lang w:eastAsia="en-US"/>
        </w:rPr>
        <w:t>,</w:t>
      </w:r>
      <w:r w:rsidRPr="00102060">
        <w:rPr>
          <w:rFonts w:eastAsia="Times New Roman"/>
          <w:lang w:eastAsia="en-US"/>
        </w:rPr>
        <w:t xml:space="preserve"> for a total of 740,000 oz contained gold in the inferred category.²</w:t>
      </w:r>
    </w:p>
    <w:p w14:paraId="1A75F7C8" w14:textId="77777777" w:rsidR="00BB20B3" w:rsidRPr="00102060" w:rsidRDefault="00BB20B3" w:rsidP="00BB20B3">
      <w:pPr>
        <w:spacing w:before="100" w:beforeAutospacing="1" w:after="100" w:afterAutospacing="1" w:line="240" w:lineRule="auto"/>
        <w:jc w:val="both"/>
        <w:rPr>
          <w:rFonts w:eastAsia="Times New Roman"/>
          <w:lang w:eastAsia="en-US"/>
        </w:rPr>
      </w:pPr>
      <w:r w:rsidRPr="00102060">
        <w:rPr>
          <w:rFonts w:eastAsia="Times New Roman"/>
          <w:lang w:eastAsia="en-US"/>
        </w:rPr>
        <w:t>A historical mineral resource estimate (the “</w:t>
      </w:r>
      <w:r w:rsidRPr="006A4487">
        <w:rPr>
          <w:b/>
        </w:rPr>
        <w:t>Historical MRE</w:t>
      </w:r>
      <w:r w:rsidRPr="00102060">
        <w:rPr>
          <w:rFonts w:eastAsia="Times New Roman"/>
          <w:lang w:eastAsia="en-US"/>
        </w:rPr>
        <w:t>”) covers the Black Mammoth, April Fool, Hooligan, Keystone, and Jumbo areas of Manhattan and comprises 1,652,325 tonnes grading 5.89 g/t gold</w:t>
      </w:r>
      <w:r>
        <w:rPr>
          <w:rFonts w:eastAsia="Times New Roman"/>
          <w:lang w:eastAsia="en-US"/>
        </w:rPr>
        <w:t>,</w:t>
      </w:r>
      <w:r w:rsidRPr="00102060">
        <w:rPr>
          <w:rFonts w:eastAsia="Times New Roman"/>
          <w:lang w:eastAsia="en-US"/>
        </w:rPr>
        <w:t xml:space="preserve"> for a total of 303,949 oz contained gold.</w:t>
      </w:r>
      <w:r>
        <w:rPr>
          <w:rFonts w:eastAsia="Times New Roman"/>
          <w:lang w:eastAsia="en-US"/>
        </w:rPr>
        <w:t>**</w:t>
      </w:r>
      <w:r w:rsidRPr="00102060">
        <w:rPr>
          <w:rFonts w:eastAsia="Times New Roman"/>
          <w:lang w:eastAsia="en-US"/>
        </w:rPr>
        <w:t xml:space="preserve">³ The deposit is interpreted as a low-sulfidation, epithermal, gold-rich system situated adjacent to the Tertiary-aged Manhattan caldera in the Southern </w:t>
      </w:r>
      <w:proofErr w:type="spellStart"/>
      <w:r w:rsidRPr="00102060">
        <w:rPr>
          <w:rFonts w:eastAsia="Times New Roman"/>
          <w:lang w:eastAsia="en-US"/>
        </w:rPr>
        <w:t>Toquima</w:t>
      </w:r>
      <w:proofErr w:type="spellEnd"/>
      <w:r w:rsidRPr="00102060">
        <w:rPr>
          <w:rFonts w:eastAsia="Times New Roman"/>
          <w:lang w:eastAsia="en-US"/>
        </w:rPr>
        <w:t xml:space="preserve"> Range of Nevada.</w:t>
      </w:r>
    </w:p>
    <w:p w14:paraId="3AAF6FE6" w14:textId="77777777" w:rsidR="00BB20B3" w:rsidRPr="00102060" w:rsidRDefault="00BB20B3" w:rsidP="00BB20B3">
      <w:pPr>
        <w:spacing w:before="100" w:beforeAutospacing="1" w:after="100" w:afterAutospacing="1" w:line="240" w:lineRule="auto"/>
        <w:jc w:val="both"/>
        <w:rPr>
          <w:rFonts w:eastAsia="Times New Roman"/>
          <w:i/>
          <w:iCs/>
          <w:sz w:val="18"/>
          <w:szCs w:val="18"/>
          <w:lang w:eastAsia="en-US"/>
        </w:rPr>
      </w:pPr>
      <w:r>
        <w:rPr>
          <w:rFonts w:eastAsia="Times New Roman"/>
          <w:i/>
          <w:iCs/>
          <w:sz w:val="18"/>
          <w:szCs w:val="18"/>
          <w:lang w:eastAsia="en-US"/>
        </w:rPr>
        <w:t>*</w:t>
      </w:r>
      <w:r w:rsidRPr="00102060">
        <w:rPr>
          <w:rFonts w:eastAsia="Times New Roman"/>
          <w:i/>
          <w:iCs/>
          <w:sz w:val="18"/>
          <w:szCs w:val="18"/>
          <w:lang w:eastAsia="en-US"/>
        </w:rPr>
        <w:t>Data and results from adjacent or nearby properties, including the Round Mountain Mine, are</w:t>
      </w:r>
      <w:r w:rsidRPr="006A4487">
        <w:rPr>
          <w:i/>
          <w:sz w:val="18"/>
        </w:rPr>
        <w:t xml:space="preserve"> not </w:t>
      </w:r>
      <w:r w:rsidRPr="00102060">
        <w:rPr>
          <w:rFonts w:eastAsia="Times New Roman"/>
          <w:i/>
          <w:iCs/>
          <w:sz w:val="18"/>
          <w:szCs w:val="18"/>
          <w:lang w:eastAsia="en-US"/>
        </w:rPr>
        <w:t>necessarily indicative of mineralization on the Manhattan Project.</w:t>
      </w:r>
    </w:p>
    <w:p w14:paraId="7764A5E4" w14:textId="77777777" w:rsidR="00BB20B3" w:rsidRPr="00102060" w:rsidRDefault="00BB20B3" w:rsidP="00BB20B3">
      <w:pPr>
        <w:spacing w:before="100" w:beforeAutospacing="1" w:after="100" w:afterAutospacing="1" w:line="240" w:lineRule="auto"/>
        <w:jc w:val="both"/>
        <w:rPr>
          <w:rFonts w:eastAsia="Times New Roman"/>
          <w:i/>
          <w:iCs/>
          <w:sz w:val="18"/>
          <w:szCs w:val="18"/>
          <w:lang w:eastAsia="en-US"/>
        </w:rPr>
      </w:pPr>
      <w:r>
        <w:rPr>
          <w:rFonts w:eastAsia="Times New Roman"/>
          <w:i/>
          <w:iCs/>
          <w:sz w:val="18"/>
          <w:szCs w:val="18"/>
          <w:lang w:eastAsia="en-US"/>
        </w:rPr>
        <w:t>**</w:t>
      </w:r>
      <w:r w:rsidRPr="00102060">
        <w:rPr>
          <w:rFonts w:eastAsia="Times New Roman"/>
          <w:i/>
          <w:iCs/>
          <w:sz w:val="18"/>
          <w:szCs w:val="18"/>
          <w:lang w:eastAsia="en-US"/>
        </w:rPr>
        <w:t>The Company considers this historical estimate relevant</w:t>
      </w:r>
      <w:r>
        <w:rPr>
          <w:rFonts w:eastAsia="Times New Roman"/>
          <w:i/>
          <w:iCs/>
          <w:sz w:val="18"/>
          <w:szCs w:val="18"/>
          <w:lang w:eastAsia="en-US"/>
        </w:rPr>
        <w:t>,</w:t>
      </w:r>
      <w:r w:rsidRPr="00102060">
        <w:rPr>
          <w:rFonts w:eastAsia="Times New Roman"/>
          <w:i/>
          <w:iCs/>
          <w:sz w:val="18"/>
          <w:szCs w:val="18"/>
          <w:lang w:eastAsia="en-US"/>
        </w:rPr>
        <w:t xml:space="preserve"> as it demonstrates the presence of significant gold mineralization across multiple zones within the </w:t>
      </w:r>
      <w:r>
        <w:rPr>
          <w:rFonts w:eastAsia="Times New Roman"/>
          <w:i/>
          <w:iCs/>
          <w:sz w:val="18"/>
          <w:szCs w:val="18"/>
          <w:lang w:eastAsia="en-US"/>
        </w:rPr>
        <w:t>d</w:t>
      </w:r>
      <w:r w:rsidRPr="00102060">
        <w:rPr>
          <w:rFonts w:eastAsia="Times New Roman"/>
          <w:i/>
          <w:iCs/>
          <w:sz w:val="18"/>
          <w:szCs w:val="18"/>
          <w:lang w:eastAsia="en-US"/>
        </w:rPr>
        <w:t>istrict; however, its reliability is uncertain because it was prepared prior</w:t>
      </w:r>
      <w:r w:rsidRPr="006A4487">
        <w:rPr>
          <w:i/>
          <w:sz w:val="18"/>
        </w:rPr>
        <w:t xml:space="preserve"> to the </w:t>
      </w:r>
      <w:r w:rsidRPr="00102060">
        <w:rPr>
          <w:rFonts w:eastAsia="Times New Roman"/>
          <w:i/>
          <w:iCs/>
          <w:sz w:val="18"/>
          <w:szCs w:val="18"/>
          <w:lang w:eastAsia="en-US"/>
        </w:rPr>
        <w:t>adoption of</w:t>
      </w:r>
      <w:r w:rsidRPr="006A4487">
        <w:rPr>
          <w:i/>
          <w:sz w:val="18"/>
        </w:rPr>
        <w:t xml:space="preserve"> current</w:t>
      </w:r>
      <w:r w:rsidRPr="00102060">
        <w:rPr>
          <w:rFonts w:eastAsia="Times New Roman"/>
          <w:i/>
          <w:iCs/>
          <w:sz w:val="18"/>
          <w:szCs w:val="18"/>
          <w:lang w:eastAsia="en-US"/>
        </w:rPr>
        <w:t xml:space="preserve"> CIM Definition Standards and modern QA/QC practices. The original historical estimate report provides limited disclosure of assumptions, parameters, estimation methods, cutoff grades, and QA/QC protocols, and therefore these cannot be fully verified by the Company. The categories used in the historical estimate predate, and are not directly comparable to, current CIM Definition Standards (2014),</w:t>
      </w:r>
      <w:r w:rsidRPr="006A4487">
        <w:rPr>
          <w:i/>
          <w:sz w:val="18"/>
        </w:rPr>
        <w:t xml:space="preserve"> and the Company is not treating the </w:t>
      </w:r>
      <w:r w:rsidRPr="00102060">
        <w:rPr>
          <w:rFonts w:eastAsia="Times New Roman"/>
          <w:i/>
          <w:iCs/>
          <w:sz w:val="18"/>
          <w:szCs w:val="18"/>
          <w:lang w:eastAsia="en-US"/>
        </w:rPr>
        <w:t>historical estimate as a current mineral resource.</w:t>
      </w:r>
    </w:p>
    <w:p w14:paraId="1F1376FD" w14:textId="13547E53" w:rsidR="00BB20B3" w:rsidRPr="00BB20B3" w:rsidRDefault="00BB20B3" w:rsidP="00BB20B3">
      <w:pPr>
        <w:spacing w:before="100" w:beforeAutospacing="1" w:after="100" w:afterAutospacing="1" w:line="240" w:lineRule="auto"/>
        <w:jc w:val="both"/>
        <w:rPr>
          <w:rFonts w:eastAsia="Times New Roman"/>
          <w:i/>
          <w:iCs/>
          <w:sz w:val="18"/>
          <w:szCs w:val="18"/>
          <w:lang w:eastAsia="en-US"/>
        </w:rPr>
      </w:pPr>
      <w:r w:rsidRPr="00102060">
        <w:rPr>
          <w:rFonts w:eastAsia="Times New Roman"/>
          <w:i/>
          <w:iCs/>
          <w:sz w:val="18"/>
          <w:szCs w:val="18"/>
          <w:lang w:eastAsia="en-US"/>
        </w:rPr>
        <w:t>To upgrade and verify the Historical MRE to a current mineral resource, the Company would be required to undertake confirmatory drilling, modern QA/QC sampling, validation and digitization of historical datasets, and updated geological modeling followed by preparation of a new resource estimate in accordance with CIM Definition Standards and NI 43-101.</w:t>
      </w:r>
    </w:p>
    <w:p w14:paraId="48C89DB4" w14:textId="77777777" w:rsidR="00BB20B3" w:rsidRPr="00102060" w:rsidRDefault="00BB20B3" w:rsidP="00BB20B3">
      <w:pPr>
        <w:pStyle w:val="FootnoteText"/>
        <w:numPr>
          <w:ilvl w:val="0"/>
          <w:numId w:val="8"/>
        </w:numPr>
        <w:rPr>
          <w:i/>
          <w:iCs/>
          <w:sz w:val="18"/>
          <w:szCs w:val="18"/>
        </w:rPr>
      </w:pPr>
      <w:r w:rsidRPr="00102060">
        <w:rPr>
          <w:i/>
          <w:iCs/>
          <w:sz w:val="18"/>
          <w:szCs w:val="18"/>
        </w:rPr>
        <w:lastRenderedPageBreak/>
        <w:t>Strachan, D. G., and Master, T. D., 2005: Update and Revision of the Gold Wedge Project Development, Nye County, Nevada; Royal Standard Minerals, Inc.</w:t>
      </w:r>
    </w:p>
    <w:p w14:paraId="5356DB68" w14:textId="77777777" w:rsidR="00BB20B3" w:rsidRPr="00102060" w:rsidRDefault="00BB20B3" w:rsidP="00BB20B3">
      <w:pPr>
        <w:pStyle w:val="FootnoteText"/>
        <w:numPr>
          <w:ilvl w:val="0"/>
          <w:numId w:val="8"/>
        </w:numPr>
        <w:rPr>
          <w:i/>
          <w:iCs/>
          <w:sz w:val="18"/>
          <w:szCs w:val="18"/>
        </w:rPr>
      </w:pPr>
      <w:proofErr w:type="spellStart"/>
      <w:r>
        <w:rPr>
          <w:i/>
          <w:iCs/>
          <w:sz w:val="18"/>
          <w:szCs w:val="18"/>
        </w:rPr>
        <w:t>Dumala</w:t>
      </w:r>
      <w:proofErr w:type="spellEnd"/>
      <w:r w:rsidRPr="00102060">
        <w:rPr>
          <w:i/>
          <w:iCs/>
          <w:sz w:val="18"/>
          <w:szCs w:val="18"/>
        </w:rPr>
        <w:t>, M. R., and Lowry, P., 2025:</w:t>
      </w:r>
      <w:r w:rsidRPr="00102060">
        <w:rPr>
          <w:i/>
          <w:iCs/>
          <w:sz w:val="18"/>
          <w:szCs w:val="18"/>
          <w:lang w:val="en-US"/>
        </w:rPr>
        <w:t xml:space="preserve"> </w:t>
      </w:r>
      <w:r w:rsidRPr="006A4487">
        <w:rPr>
          <w:i/>
          <w:sz w:val="18"/>
          <w:lang w:val="en-US"/>
        </w:rPr>
        <w:t>Mineral Resource Estimate and NI 43-101 Technical Report, Manhattan Property, Nye County, Nevada</w:t>
      </w:r>
      <w:r w:rsidRPr="00102060">
        <w:rPr>
          <w:i/>
          <w:iCs/>
          <w:sz w:val="18"/>
          <w:szCs w:val="18"/>
          <w:lang w:val="en-US"/>
        </w:rPr>
        <w:t xml:space="preserve">, </w:t>
      </w:r>
      <w:r w:rsidRPr="006A4487">
        <w:rPr>
          <w:i/>
          <w:sz w:val="18"/>
          <w:lang w:val="en-US"/>
        </w:rPr>
        <w:t xml:space="preserve">Scorpio </w:t>
      </w:r>
      <w:r w:rsidRPr="00102060">
        <w:rPr>
          <w:i/>
          <w:iCs/>
          <w:sz w:val="18"/>
          <w:szCs w:val="18"/>
          <w:lang w:val="en-US"/>
        </w:rPr>
        <w:t>Gold Corp.</w:t>
      </w:r>
    </w:p>
    <w:p w14:paraId="462BF687" w14:textId="77777777" w:rsidR="00BB20B3" w:rsidRPr="00102060" w:rsidRDefault="00BB20B3" w:rsidP="00BB20B3">
      <w:pPr>
        <w:pStyle w:val="FootnoteText"/>
        <w:numPr>
          <w:ilvl w:val="0"/>
          <w:numId w:val="8"/>
        </w:numPr>
        <w:rPr>
          <w:i/>
          <w:iCs/>
          <w:sz w:val="18"/>
          <w:szCs w:val="18"/>
        </w:rPr>
        <w:sectPr w:rsidR="00BB20B3" w:rsidRPr="00102060" w:rsidSect="00BB20B3">
          <w:headerReference w:type="default" r:id="rId17"/>
          <w:footerReference w:type="default" r:id="rId18"/>
          <w:footerReference w:type="first" r:id="rId19"/>
          <w:pgSz w:w="12240" w:h="15840"/>
          <w:pgMar w:top="720" w:right="720" w:bottom="720" w:left="720" w:header="720" w:footer="360" w:gutter="0"/>
          <w:pgNumType w:start="1"/>
          <w:cols w:space="720"/>
          <w:titlePg/>
          <w:docGrid w:linePitch="299"/>
        </w:sectPr>
      </w:pPr>
      <w:r w:rsidRPr="00102060">
        <w:rPr>
          <w:i/>
          <w:iCs/>
          <w:sz w:val="18"/>
          <w:szCs w:val="18"/>
        </w:rPr>
        <w:t>A. Berry and P. Willard, 1997. "Exploration and Pre-Production Mine Development, Manhattan District Project, Nye County", a report prepared by New Concept Mining, Inc.</w:t>
      </w:r>
    </w:p>
    <w:p w14:paraId="1F9D7967" w14:textId="77777777" w:rsidR="00BB20B3" w:rsidRPr="006A4487" w:rsidRDefault="00BB20B3" w:rsidP="00BB20B3">
      <w:pPr>
        <w:spacing w:line="240" w:lineRule="auto"/>
        <w:jc w:val="both"/>
        <w:rPr>
          <w:sz w:val="18"/>
        </w:rPr>
      </w:pPr>
    </w:p>
    <w:p w14:paraId="77472E85" w14:textId="77777777" w:rsidR="00BB20B3" w:rsidRDefault="00BB20B3" w:rsidP="00BB20B3">
      <w:pPr>
        <w:spacing w:line="240" w:lineRule="auto"/>
        <w:jc w:val="both"/>
        <w:rPr>
          <w:b/>
          <w:bCs/>
        </w:rPr>
      </w:pPr>
    </w:p>
    <w:p w14:paraId="00D096D0" w14:textId="77777777" w:rsidR="00BB20B3" w:rsidRDefault="00BB20B3" w:rsidP="00BB20B3">
      <w:pPr>
        <w:spacing w:line="240" w:lineRule="auto"/>
        <w:jc w:val="both"/>
        <w:rPr>
          <w:b/>
          <w:bCs/>
        </w:rPr>
      </w:pPr>
      <w:r w:rsidRPr="003B6F35">
        <w:rPr>
          <w:b/>
          <w:bCs/>
        </w:rPr>
        <w:t>Qualified Person</w:t>
      </w:r>
    </w:p>
    <w:p w14:paraId="5D364BA7" w14:textId="77777777" w:rsidR="00BB20B3" w:rsidRDefault="00BB20B3" w:rsidP="00BB20B3">
      <w:pPr>
        <w:keepNext/>
        <w:keepLines/>
        <w:spacing w:line="240" w:lineRule="auto"/>
        <w:jc w:val="both"/>
      </w:pPr>
      <w:r w:rsidRPr="003B6F35">
        <w:br/>
        <w:t xml:space="preserve">The </w:t>
      </w:r>
      <w:r>
        <w:t xml:space="preserve">scientific and </w:t>
      </w:r>
      <w:r w:rsidRPr="003B6F35">
        <w:t>technical information in this news release has been reviewed</w:t>
      </w:r>
      <w:r>
        <w:t>, verified</w:t>
      </w:r>
      <w:r w:rsidRPr="003B6F35">
        <w:t xml:space="preserve"> and approved by </w:t>
      </w:r>
      <w:r>
        <w:t>Leo Hathaway</w:t>
      </w:r>
      <w:r w:rsidRPr="003B6F35">
        <w:t>, P.</w:t>
      </w:r>
      <w:r>
        <w:t xml:space="preserve"> </w:t>
      </w:r>
      <w:r w:rsidRPr="003B6F35">
        <w:t>Geo.,</w:t>
      </w:r>
      <w:r>
        <w:t xml:space="preserve"> Chief Geologist of Scorpio Gold,</w:t>
      </w:r>
      <w:r w:rsidRPr="003B6F35">
        <w:t xml:space="preserve"> a "Qualified Person", as defined under National Instrument 43-101 Standards of Disclosure for Mineral Projects.</w:t>
      </w:r>
      <w:r>
        <w:t xml:space="preserve"> </w:t>
      </w:r>
      <w:r w:rsidRPr="00CD70EF">
        <w:t>Verification included review of laboratory certificates,</w:t>
      </w:r>
      <w:r>
        <w:t xml:space="preserve"> review of field</w:t>
      </w:r>
      <w:r w:rsidRPr="00CD70EF">
        <w:t xml:space="preserve"> logs and chain-of-custody records,</w:t>
      </w:r>
      <w:r>
        <w:t xml:space="preserve"> </w:t>
      </w:r>
      <w:r w:rsidRPr="00CD70EF">
        <w:t>inspection of blank/standard/duplicate performance, and review of collar and down-hole survey data. No limitations or failures to verify were identified</w:t>
      </w:r>
      <w:r>
        <w:t>.</w:t>
      </w:r>
    </w:p>
    <w:p w14:paraId="07013850" w14:textId="77777777" w:rsidR="00BB20B3" w:rsidRDefault="00BB20B3" w:rsidP="00BB20B3">
      <w:pPr>
        <w:spacing w:before="240" w:line="240" w:lineRule="auto"/>
        <w:contextualSpacing/>
        <w:rPr>
          <w:b/>
          <w:bCs/>
          <w:color w:val="000000" w:themeColor="text1"/>
        </w:rPr>
      </w:pPr>
    </w:p>
    <w:p w14:paraId="54DA108E" w14:textId="77777777" w:rsidR="00BB20B3" w:rsidRDefault="00BB20B3" w:rsidP="00BB20B3">
      <w:pPr>
        <w:spacing w:before="240" w:line="240" w:lineRule="auto"/>
        <w:contextualSpacing/>
        <w:rPr>
          <w:color w:val="000000"/>
        </w:rPr>
      </w:pPr>
      <w:r w:rsidRPr="7E1A3F6B">
        <w:rPr>
          <w:b/>
          <w:bCs/>
          <w:color w:val="000000" w:themeColor="text1"/>
        </w:rPr>
        <w:t>About Scorpio Gold Corp.</w:t>
      </w:r>
      <w:r>
        <w:br/>
      </w:r>
    </w:p>
    <w:p w14:paraId="4CB9F9F7" w14:textId="77777777" w:rsidR="00BB20B3" w:rsidRDefault="00BB20B3" w:rsidP="00BB20B3">
      <w:pPr>
        <w:spacing w:after="160" w:line="257" w:lineRule="auto"/>
        <w:jc w:val="both"/>
      </w:pPr>
      <w:r w:rsidRPr="7E1A3F6B">
        <w:t xml:space="preserve">Scorpio Gold holds a 100% interest in the Manhattan District located in the Walker Lane Trend of Nevada, USA. Scorpio Gold's Manhattan District is ~4,780-hectares and comprises the advanced exploration-stage </w:t>
      </w:r>
      <w:proofErr w:type="spellStart"/>
      <w:r w:rsidRPr="7E1A3F6B">
        <w:t>Goldwedge</w:t>
      </w:r>
      <w:proofErr w:type="spellEnd"/>
      <w:r w:rsidRPr="7E1A3F6B">
        <w:t xml:space="preserve"> Mine, with a 400 ton per day maximum capacity gravity mill, and four past-producing pits that were acquired from Kinross in 2021 (see </w:t>
      </w:r>
      <w:r>
        <w:t xml:space="preserve">news release dated </w:t>
      </w:r>
      <w:hyperlink r:id="rId20">
        <w:r w:rsidRPr="7E1A3F6B">
          <w:rPr>
            <w:rStyle w:val="Hyperlink"/>
            <w:u w:val="none"/>
          </w:rPr>
          <w:t>March 25, 2021</w:t>
        </w:r>
      </w:hyperlink>
      <w:r w:rsidRPr="7E1A3F6B">
        <w:t>). The consolidated Manhattan District presents an exciting late-stage exploration opportunity, with over 140,000 metres of historical drilling, significant resource potential, and valuable permitting and water rights.</w:t>
      </w:r>
    </w:p>
    <w:p w14:paraId="15B76587" w14:textId="77777777" w:rsidR="00BB20B3" w:rsidRDefault="00BB20B3" w:rsidP="00BB20B3">
      <w:pPr>
        <w:spacing w:after="160" w:line="257" w:lineRule="auto"/>
        <w:jc w:val="both"/>
        <w:sectPr w:rsidR="00BB20B3" w:rsidSect="00BB20B3">
          <w:footerReference w:type="default" r:id="rId21"/>
          <w:footerReference w:type="first" r:id="rId22"/>
          <w:pgSz w:w="12240" w:h="15840"/>
          <w:pgMar w:top="720" w:right="720" w:bottom="720" w:left="720" w:header="720" w:footer="360" w:gutter="0"/>
          <w:pgNumType w:start="1"/>
          <w:cols w:space="720"/>
          <w:titlePg/>
          <w:docGrid w:linePitch="299"/>
        </w:sectPr>
      </w:pPr>
      <w:r w:rsidRPr="008F46CF">
        <w:rPr>
          <w:i/>
          <w:iCs/>
        </w:rPr>
        <w:t>Neither the TSX Venture Exchange nor its Regulation Services Provider (as that term is defined in the policies of the Exchange) accepts responsibility for the adequacy or accuracy of this release.</w:t>
      </w:r>
    </w:p>
    <w:p w14:paraId="37BEBBFE" w14:textId="77777777" w:rsidR="00BB20B3" w:rsidRDefault="00BB20B3" w:rsidP="00BB20B3">
      <w:pPr>
        <w:spacing w:after="160" w:line="257" w:lineRule="auto"/>
        <w:jc w:val="both"/>
        <w:rPr>
          <w:color w:val="000000"/>
        </w:rPr>
      </w:pPr>
      <w:r>
        <w:rPr>
          <w:b/>
          <w:color w:val="000000"/>
        </w:rPr>
        <w:lastRenderedPageBreak/>
        <w:t>ON BEHALF OF THE BOARD OF SCORPIO GOLD CORPORATION</w:t>
      </w:r>
    </w:p>
    <w:p w14:paraId="2B3ED1D9" w14:textId="77777777" w:rsidR="00BB20B3" w:rsidRDefault="00BB20B3" w:rsidP="00BB20B3">
      <w:pPr>
        <w:keepNext/>
        <w:keepLines/>
        <w:pBdr>
          <w:top w:val="nil"/>
          <w:left w:val="nil"/>
          <w:bottom w:val="nil"/>
          <w:right w:val="nil"/>
          <w:between w:val="nil"/>
        </w:pBdr>
        <w:shd w:val="clear" w:color="auto" w:fill="FFFFFF" w:themeFill="background1"/>
        <w:spacing w:before="300" w:after="300" w:line="240" w:lineRule="auto"/>
        <w:rPr>
          <w:b/>
          <w:bCs/>
          <w:color w:val="000000"/>
        </w:rPr>
      </w:pPr>
      <w:r w:rsidRPr="15A9E5EE">
        <w:rPr>
          <w:b/>
          <w:bCs/>
          <w:color w:val="000000" w:themeColor="text1"/>
        </w:rPr>
        <w:t>Zayn Kalyan, Chief Executive Officer and Director</w:t>
      </w:r>
      <w:r>
        <w:br/>
      </w:r>
      <w:r w:rsidRPr="15A9E5EE">
        <w:rPr>
          <w:color w:val="000000" w:themeColor="text1"/>
        </w:rPr>
        <w:t>Tel: (604)-252-2672</w:t>
      </w:r>
      <w:r>
        <w:br/>
      </w:r>
      <w:r w:rsidRPr="15A9E5EE">
        <w:rPr>
          <w:color w:val="000000" w:themeColor="text1"/>
        </w:rPr>
        <w:t xml:space="preserve">Email: </w:t>
      </w:r>
      <w:r w:rsidRPr="15A9E5EE">
        <w:rPr>
          <w:color w:val="000000" w:themeColor="text1"/>
          <w:u w:val="single"/>
        </w:rPr>
        <w:t>zayn@scorpiogold.com</w:t>
      </w:r>
      <w:r w:rsidRPr="15A9E5EE">
        <w:rPr>
          <w:b/>
          <w:bCs/>
          <w:color w:val="000000" w:themeColor="text1"/>
        </w:rPr>
        <w:t>  </w:t>
      </w:r>
    </w:p>
    <w:p w14:paraId="24052BC1" w14:textId="77777777" w:rsidR="00BB20B3" w:rsidRPr="004B68D2" w:rsidRDefault="00BB20B3" w:rsidP="00BB20B3">
      <w:pPr>
        <w:keepNext/>
        <w:keepLines/>
        <w:pBdr>
          <w:top w:val="nil"/>
          <w:left w:val="nil"/>
          <w:bottom w:val="nil"/>
          <w:right w:val="nil"/>
          <w:between w:val="nil"/>
        </w:pBdr>
        <w:shd w:val="clear" w:color="auto" w:fill="FFFFFF"/>
        <w:spacing w:before="300" w:after="300" w:line="240" w:lineRule="auto"/>
        <w:rPr>
          <w:color w:val="000000"/>
        </w:rPr>
      </w:pPr>
      <w:r>
        <w:rPr>
          <w:b/>
          <w:bCs/>
          <w:color w:val="000000"/>
        </w:rPr>
        <w:t>Investor Relations Contact:</w:t>
      </w:r>
      <w:r>
        <w:rPr>
          <w:color w:val="000000"/>
        </w:rPr>
        <w:br/>
        <w:t>Kin Communications Inc.</w:t>
      </w:r>
      <w:r>
        <w:rPr>
          <w:color w:val="000000"/>
        </w:rPr>
        <w:br/>
        <w:t>Tel: (604) 684-6730</w:t>
      </w:r>
      <w:r>
        <w:rPr>
          <w:color w:val="000000"/>
        </w:rPr>
        <w:br/>
        <w:t>Email: SGN@kincommunications.com</w:t>
      </w:r>
    </w:p>
    <w:p w14:paraId="756C4E3F" w14:textId="77777777" w:rsidR="00BB20B3" w:rsidRDefault="00BB20B3" w:rsidP="00BB20B3">
      <w:pPr>
        <w:adjustRightInd w:val="0"/>
        <w:spacing w:line="240" w:lineRule="auto"/>
        <w:contextualSpacing/>
        <w:rPr>
          <w:rFonts w:ascii="Arial-BoldMT" w:hAnsi="Arial-BoldMT" w:cs="Arial-BoldMT"/>
          <w:b/>
          <w:bCs/>
        </w:rPr>
      </w:pPr>
      <w:r w:rsidRPr="002C33D8">
        <w:rPr>
          <w:rFonts w:ascii="Arial-BoldMT" w:hAnsi="Arial-BoldMT" w:cs="Arial-BoldMT"/>
          <w:b/>
          <w:bCs/>
        </w:rPr>
        <w:t xml:space="preserve">Connect with </w:t>
      </w:r>
      <w:r>
        <w:rPr>
          <w:rFonts w:ascii="Arial-BoldMT" w:hAnsi="Arial-BoldMT" w:cs="Arial-BoldMT"/>
          <w:b/>
          <w:bCs/>
        </w:rPr>
        <w:t>Scorpio Gold:</w:t>
      </w:r>
    </w:p>
    <w:p w14:paraId="5702BD7F" w14:textId="77777777" w:rsidR="00BB20B3" w:rsidRPr="00DE71BC" w:rsidRDefault="00BB20B3" w:rsidP="00BB20B3">
      <w:pPr>
        <w:pBdr>
          <w:top w:val="nil"/>
          <w:left w:val="nil"/>
          <w:bottom w:val="nil"/>
          <w:right w:val="nil"/>
          <w:between w:val="nil"/>
        </w:pBdr>
        <w:shd w:val="clear" w:color="auto" w:fill="FFFFFF"/>
        <w:spacing w:line="240" w:lineRule="auto"/>
        <w:contextualSpacing/>
        <w:rPr>
          <w:color w:val="000000"/>
        </w:rPr>
      </w:pPr>
      <w:hyperlink r:id="rId23" w:history="1">
        <w:r w:rsidRPr="00DE71BC">
          <w:rPr>
            <w:rStyle w:val="Hyperlink"/>
          </w:rPr>
          <w:t>Email</w:t>
        </w:r>
      </w:hyperlink>
      <w:r>
        <w:rPr>
          <w:color w:val="000000"/>
        </w:rPr>
        <w:t xml:space="preserve"> | </w:t>
      </w:r>
      <w:hyperlink r:id="rId24" w:history="1">
        <w:r w:rsidRPr="00AA385B">
          <w:rPr>
            <w:rStyle w:val="Hyperlink"/>
          </w:rPr>
          <w:t>Website</w:t>
        </w:r>
      </w:hyperlink>
      <w:r>
        <w:rPr>
          <w:color w:val="000000"/>
        </w:rPr>
        <w:t xml:space="preserve"> | </w:t>
      </w:r>
      <w:hyperlink r:id="rId25" w:history="1">
        <w:r w:rsidRPr="00DE71BC">
          <w:rPr>
            <w:rStyle w:val="Hyperlink"/>
          </w:rPr>
          <w:t>Facebook</w:t>
        </w:r>
      </w:hyperlink>
      <w:r>
        <w:rPr>
          <w:color w:val="000000"/>
        </w:rPr>
        <w:t xml:space="preserve"> | </w:t>
      </w:r>
      <w:hyperlink r:id="rId26" w:history="1">
        <w:r w:rsidRPr="00DE71BC">
          <w:rPr>
            <w:rStyle w:val="Hyperlink"/>
          </w:rPr>
          <w:t>LinkedIn</w:t>
        </w:r>
      </w:hyperlink>
      <w:r>
        <w:rPr>
          <w:color w:val="000000"/>
        </w:rPr>
        <w:t xml:space="preserve"> | </w:t>
      </w:r>
      <w:hyperlink r:id="rId27" w:history="1">
        <w:r w:rsidRPr="00DE71BC">
          <w:rPr>
            <w:rStyle w:val="Hyperlink"/>
          </w:rPr>
          <w:t>X</w:t>
        </w:r>
      </w:hyperlink>
      <w:r>
        <w:rPr>
          <w:color w:val="000000"/>
        </w:rPr>
        <w:t xml:space="preserve"> | </w:t>
      </w:r>
      <w:hyperlink r:id="rId28" w:history="1">
        <w:r w:rsidRPr="00DE71BC">
          <w:rPr>
            <w:rStyle w:val="Hyperlink"/>
          </w:rPr>
          <w:t>YouTube</w:t>
        </w:r>
      </w:hyperlink>
    </w:p>
    <w:p w14:paraId="1F2C9FA9" w14:textId="77777777" w:rsidR="00BB20B3" w:rsidRDefault="00BB20B3" w:rsidP="00BB20B3">
      <w:pPr>
        <w:pStyle w:val="BodyText"/>
        <w:jc w:val="both"/>
        <w:rPr>
          <w:rStyle w:val="Hyperlink"/>
          <w:rFonts w:ascii="ArialMT" w:eastAsiaTheme="minorHAnsi" w:hAnsi="ArialMT" w:cs="ArialMT"/>
          <w:sz w:val="22"/>
          <w:szCs w:val="22"/>
          <w:lang w:val="en-CA"/>
        </w:rPr>
      </w:pPr>
      <w:r w:rsidRPr="0063069D">
        <w:rPr>
          <w:rFonts w:ascii="ArialMT" w:eastAsiaTheme="minorHAnsi" w:hAnsi="ArialMT" w:cs="ArialMT"/>
          <w:sz w:val="22"/>
          <w:szCs w:val="22"/>
          <w:lang w:val="en-CA"/>
        </w:rPr>
        <w:t xml:space="preserve">To register for investor updates please </w:t>
      </w:r>
      <w:r w:rsidRPr="002C33D8">
        <w:rPr>
          <w:rFonts w:ascii="ArialMT" w:eastAsiaTheme="minorHAnsi" w:hAnsi="ArialMT" w:cs="ArialMT"/>
          <w:sz w:val="22"/>
          <w:szCs w:val="22"/>
          <w:lang w:val="en-CA"/>
        </w:rPr>
        <w:t>visit</w:t>
      </w:r>
      <w:r>
        <w:rPr>
          <w:rFonts w:ascii="ArialMT" w:eastAsiaTheme="minorHAnsi" w:hAnsi="ArialMT" w:cs="ArialMT"/>
          <w:sz w:val="22"/>
          <w:szCs w:val="22"/>
          <w:lang w:val="en-CA"/>
        </w:rPr>
        <w:t>:</w:t>
      </w:r>
      <w:r w:rsidRPr="002C33D8">
        <w:rPr>
          <w:rFonts w:ascii="ArialMT" w:eastAsiaTheme="minorHAnsi" w:hAnsi="ArialMT" w:cs="ArialMT"/>
          <w:sz w:val="22"/>
          <w:szCs w:val="22"/>
          <w:lang w:val="en-CA"/>
        </w:rPr>
        <w:t xml:space="preserve"> </w:t>
      </w:r>
      <w:hyperlink r:id="rId29" w:history="1">
        <w:r w:rsidRPr="00DE71BC">
          <w:rPr>
            <w:rStyle w:val="Hyperlink"/>
            <w:rFonts w:ascii="ArialMT" w:eastAsiaTheme="minorHAnsi" w:hAnsi="ArialMT" w:cs="ArialMT"/>
            <w:sz w:val="22"/>
            <w:szCs w:val="22"/>
            <w:lang w:val="en-CA"/>
          </w:rPr>
          <w:t>scorpiogold.com</w:t>
        </w:r>
      </w:hyperlink>
    </w:p>
    <w:p w14:paraId="0DF5C6CD" w14:textId="77777777" w:rsidR="00BB20B3" w:rsidRPr="004B68D2" w:rsidRDefault="00BB20B3" w:rsidP="00BB20B3">
      <w:pPr>
        <w:pStyle w:val="BodyText"/>
        <w:jc w:val="both"/>
        <w:rPr>
          <w:rStyle w:val="Hyperlink"/>
          <w:rFonts w:ascii="ArialMT" w:eastAsiaTheme="minorHAnsi" w:hAnsi="ArialMT" w:cs="ArialMT"/>
          <w:b/>
          <w:bCs/>
          <w:sz w:val="22"/>
          <w:szCs w:val="22"/>
          <w:lang w:val="en-CA" w:eastAsia="en-CA"/>
        </w:rPr>
      </w:pPr>
      <w:r>
        <w:rPr>
          <w:rFonts w:ascii="ArialMT" w:eastAsiaTheme="minorHAnsi" w:hAnsi="ArialMT" w:cs="ArialMT"/>
          <w:sz w:val="22"/>
          <w:szCs w:val="22"/>
          <w:lang w:val="en-CA"/>
        </w:rPr>
        <w:t xml:space="preserve">TSXV: </w:t>
      </w:r>
      <w:r w:rsidRPr="004B68D2">
        <w:rPr>
          <w:rFonts w:ascii="ArialMT" w:eastAsiaTheme="minorHAnsi" w:hAnsi="ArialMT" w:cs="ArialMT"/>
          <w:b/>
          <w:bCs/>
          <w:sz w:val="22"/>
          <w:szCs w:val="22"/>
          <w:lang w:val="en-CA"/>
        </w:rPr>
        <w:t xml:space="preserve">SGN </w:t>
      </w:r>
      <w:r>
        <w:rPr>
          <w:rFonts w:ascii="ArialMT" w:eastAsiaTheme="minorHAnsi" w:hAnsi="ArialMT" w:cs="ArialMT"/>
          <w:sz w:val="22"/>
          <w:szCs w:val="22"/>
          <w:lang w:val="en-CA"/>
        </w:rPr>
        <w:t xml:space="preserve">| OTC: </w:t>
      </w:r>
      <w:r w:rsidRPr="004B68D2">
        <w:rPr>
          <w:rFonts w:ascii="ArialMT" w:eastAsiaTheme="minorHAnsi" w:hAnsi="ArialMT" w:cs="ArialMT"/>
          <w:b/>
          <w:bCs/>
          <w:sz w:val="22"/>
          <w:szCs w:val="22"/>
          <w:lang w:val="en-CA"/>
        </w:rPr>
        <w:t>SRCRF</w:t>
      </w:r>
      <w:r>
        <w:rPr>
          <w:rFonts w:ascii="ArialMT" w:eastAsiaTheme="minorHAnsi" w:hAnsi="ArialMT" w:cs="ArialMT"/>
          <w:sz w:val="22"/>
          <w:szCs w:val="22"/>
          <w:lang w:val="en-CA"/>
        </w:rPr>
        <w:t xml:space="preserve"> | FSE: </w:t>
      </w:r>
      <w:r w:rsidRPr="004B68D2">
        <w:rPr>
          <w:rFonts w:ascii="ArialMT" w:eastAsiaTheme="minorHAnsi" w:hAnsi="ArialMT" w:cs="ArialMT"/>
          <w:b/>
          <w:bCs/>
          <w:sz w:val="22"/>
          <w:szCs w:val="22"/>
          <w:lang w:val="en-CA"/>
        </w:rPr>
        <w:t>RY9</w:t>
      </w:r>
    </w:p>
    <w:p w14:paraId="28D866FD" w14:textId="77777777" w:rsidR="00BB20B3" w:rsidRPr="00FE04B6" w:rsidRDefault="00BB20B3" w:rsidP="00BB20B3">
      <w:pPr>
        <w:pBdr>
          <w:top w:val="nil"/>
          <w:left w:val="nil"/>
          <w:bottom w:val="nil"/>
          <w:right w:val="nil"/>
          <w:between w:val="nil"/>
        </w:pBdr>
        <w:shd w:val="clear" w:color="auto" w:fill="FFFFFF"/>
        <w:spacing w:before="300" w:after="240" w:line="240" w:lineRule="auto"/>
        <w:jc w:val="both"/>
        <w:rPr>
          <w:b/>
          <w:bCs/>
          <w:color w:val="000000"/>
        </w:rPr>
      </w:pPr>
      <w:r w:rsidRPr="00FE04B6">
        <w:rPr>
          <w:b/>
          <w:bCs/>
          <w:i/>
          <w:color w:val="000000"/>
        </w:rPr>
        <w:t>Forward-Looking Statements</w:t>
      </w:r>
    </w:p>
    <w:p w14:paraId="39D0898A" w14:textId="77777777" w:rsidR="00CE6EA7" w:rsidRDefault="00CE6EA7" w:rsidP="00CE6EA7">
      <w:pPr>
        <w:keepNext/>
        <w:spacing w:line="240" w:lineRule="auto"/>
        <w:jc w:val="both"/>
        <w:rPr>
          <w:i/>
          <w:color w:val="000000"/>
        </w:rPr>
      </w:pPr>
      <w:r w:rsidRPr="00CE6EA7">
        <w:rPr>
          <w:i/>
          <w:color w:val="000000"/>
        </w:rPr>
        <w:t>This news release contains statements that constitute “forward-looking statements.” Such forward looking statements involve known and unknown risks, uncertainties and other factors that may cause the Company’s actual results, performance or achievements, or developments to differ materially from the anticipated results, performance or achievements expressed or implied by such forward-looking statements.  Forward looking statements are statements that are not historical facts and are generally, but not always, identified by the words “expects,” “plans,” “anticipates,” “believes,” “intends,” “estimates,” “projects,” “potential” and similar expressions, or that events or conditions “will,” “would,” “may,” “could” or “should” occur.</w:t>
      </w:r>
    </w:p>
    <w:p w14:paraId="6EE6FABF" w14:textId="77777777" w:rsidR="00CE6EA7" w:rsidRPr="00CE6EA7" w:rsidRDefault="00CE6EA7" w:rsidP="00CE6EA7">
      <w:pPr>
        <w:keepNext/>
        <w:spacing w:line="240" w:lineRule="auto"/>
        <w:jc w:val="both"/>
        <w:rPr>
          <w:i/>
          <w:color w:val="000000"/>
        </w:rPr>
      </w:pPr>
    </w:p>
    <w:p w14:paraId="10394F4C" w14:textId="77777777" w:rsidR="00CE6EA7" w:rsidRDefault="00CE6EA7" w:rsidP="00CE6EA7">
      <w:pPr>
        <w:keepNext/>
        <w:spacing w:line="240" w:lineRule="auto"/>
        <w:jc w:val="both"/>
        <w:rPr>
          <w:i/>
          <w:color w:val="000000"/>
        </w:rPr>
      </w:pPr>
      <w:r w:rsidRPr="00CE6EA7">
        <w:rPr>
          <w:i/>
          <w:color w:val="000000"/>
        </w:rPr>
        <w:t>Forward-looking statements in this news release include, among others, statements relating to the timing, scope and interpretation of assay results; potential for resource growth; the potential continuity, extent and characteristics of mineralization along the Reliance Trend, Gap Zone, Zanzibar Trend and Mustang Hill; the intended follow-up exploration activities and timing of future disclosures, and other statements that are not historical facts. By their nature, forward-looking statements involve known and unknown risks, uncertainties and other factors which may cause our actual results, performance or achievements, or other future events, to be materially different from any future results, performance or achievements expressed or implied by such forward-looking statements. Such factors and risks include, among others: the Company may require additional financing from time to time in order to continue its operations which may not be available when needed or on acceptable terms and conditions acceptable; compliance with extensive government regulation; domestic and foreign laws and regulations could adversely affect the Company’s business and results of operations; the stock markets have experienced volatility that often has been unrelated to the performance of companies and these fluctuations may adversely affect the price of the Company’s securities, regardless of its operating performance.</w:t>
      </w:r>
    </w:p>
    <w:p w14:paraId="5BE82515" w14:textId="77777777" w:rsidR="00CE6EA7" w:rsidRPr="00CE6EA7" w:rsidRDefault="00CE6EA7" w:rsidP="00CE6EA7">
      <w:pPr>
        <w:keepNext/>
        <w:spacing w:line="240" w:lineRule="auto"/>
        <w:jc w:val="both"/>
        <w:rPr>
          <w:i/>
          <w:color w:val="000000"/>
        </w:rPr>
      </w:pPr>
    </w:p>
    <w:p w14:paraId="5216D5CD" w14:textId="01A3DA20" w:rsidR="00441B79" w:rsidRDefault="00CE6EA7" w:rsidP="00CE6EA7">
      <w:pPr>
        <w:keepNext/>
        <w:spacing w:line="240" w:lineRule="auto"/>
        <w:jc w:val="both"/>
        <w:rPr>
          <w:color w:val="000000"/>
        </w:rPr>
      </w:pPr>
      <w:r w:rsidRPr="00CE6EA7">
        <w:rPr>
          <w:i/>
          <w:color w:val="000000"/>
        </w:rPr>
        <w:t xml:space="preserve">The forward-looking information contained in this news release represents the expectations of the Company as of the date of this news release and, accordingly, is subject to change after such date. Readers should not place undue importance on forward-looking information and should not rely upon this information as of any other date. The Company undertakes no obligation to update these forward-looking statements </w:t>
      </w:r>
      <w:proofErr w:type="gramStart"/>
      <w:r w:rsidRPr="00CE6EA7">
        <w:rPr>
          <w:i/>
          <w:color w:val="000000"/>
        </w:rPr>
        <w:t>in the event that</w:t>
      </w:r>
      <w:proofErr w:type="gramEnd"/>
      <w:r w:rsidRPr="00CE6EA7">
        <w:rPr>
          <w:i/>
          <w:color w:val="000000"/>
        </w:rPr>
        <w:t xml:space="preserve"> management's beliefs, estimates or opinions, or other factors, should change.</w:t>
      </w:r>
    </w:p>
    <w:sectPr w:rsidR="00441B79" w:rsidSect="00BB20B3">
      <w:headerReference w:type="default" r:id="rId30"/>
      <w:pgSz w:w="12240" w:h="15840"/>
      <w:pgMar w:top="720" w:right="720" w:bottom="720" w:left="720" w:header="720" w:footer="36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6905E" w14:textId="77777777" w:rsidR="00187A0E" w:rsidRDefault="00187A0E">
      <w:pPr>
        <w:spacing w:line="240" w:lineRule="auto"/>
      </w:pPr>
      <w:r>
        <w:separator/>
      </w:r>
    </w:p>
  </w:endnote>
  <w:endnote w:type="continuationSeparator" w:id="0">
    <w:p w14:paraId="20AFCB13" w14:textId="77777777" w:rsidR="00187A0E" w:rsidRDefault="00187A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rial-BoldMT">
    <w:altName w:val="Arial"/>
    <w:charset w:val="00"/>
    <w:family w:val="auto"/>
    <w:pitch w:val="default"/>
    <w:sig w:usb0="00000003" w:usb1="00000000" w:usb2="00000000" w:usb3="00000000" w:csb0="00000001" w:csb1="00000000"/>
  </w:font>
  <w:font w:name="ArialMT">
    <w:altName w:val="Arial"/>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BBB8" w14:textId="77777777" w:rsidR="00BB20B3" w:rsidRDefault="00BB20B3">
    <w:pPr>
      <w:pStyle w:val="Footer"/>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DF59" w14:textId="77777777" w:rsidR="00BB20B3" w:rsidRDefault="00BB20B3">
    <w:pPr>
      <w:pStyle w:val="Footer"/>
      <w:tabs>
        <w:tab w:val="clear" w:pos="4680"/>
        <w:tab w:val="clear" w:pos="9360"/>
      </w:tabs>
      <w:jc w:val="center"/>
      <w:rPr>
        <w:caps/>
        <w:noProof/>
        <w:color w:val="4F81BD" w:themeColor="accent1"/>
      </w:rPr>
    </w:pPr>
  </w:p>
  <w:p w14:paraId="69E43A49" w14:textId="77777777" w:rsidR="00BB20B3" w:rsidRDefault="00BB2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8208" w14:textId="77777777" w:rsidR="00BB20B3" w:rsidRDefault="00BB20B3">
    <w:pPr>
      <w:pStyle w:val="Footer"/>
      <w:spacing w:line="18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B5AC" w14:textId="77777777" w:rsidR="00BB20B3" w:rsidRDefault="00BB20B3">
    <w:pPr>
      <w:pStyle w:val="Footer"/>
      <w:tabs>
        <w:tab w:val="clear" w:pos="4680"/>
        <w:tab w:val="clear" w:pos="9360"/>
      </w:tabs>
      <w:jc w:val="center"/>
      <w:rPr>
        <w:caps/>
        <w:noProof/>
        <w:color w:val="4F81BD" w:themeColor="accent1"/>
      </w:rPr>
    </w:pPr>
  </w:p>
  <w:p w14:paraId="4D0E78DA" w14:textId="77777777" w:rsidR="00BB20B3" w:rsidRDefault="00BB2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2504" w14:textId="77777777" w:rsidR="00187A0E" w:rsidRDefault="00187A0E">
      <w:pPr>
        <w:spacing w:line="240" w:lineRule="auto"/>
      </w:pPr>
      <w:r>
        <w:separator/>
      </w:r>
    </w:p>
  </w:footnote>
  <w:footnote w:type="continuationSeparator" w:id="0">
    <w:p w14:paraId="09C85E44" w14:textId="77777777" w:rsidR="00187A0E" w:rsidRDefault="00187A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E54B" w14:textId="77777777" w:rsidR="00BB20B3" w:rsidRDefault="00BB2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F13AD" w14:textId="77777777" w:rsidR="00B97FB1" w:rsidRPr="00FE3D23" w:rsidRDefault="00B97FB1" w:rsidP="00FE3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55625"/>
    <w:multiLevelType w:val="hybridMultilevel"/>
    <w:tmpl w:val="CD8C2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5383C"/>
    <w:multiLevelType w:val="hybridMultilevel"/>
    <w:tmpl w:val="3BD8352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 w15:restartNumberingAfterBreak="0">
    <w:nsid w:val="364C51C1"/>
    <w:multiLevelType w:val="hybridMultilevel"/>
    <w:tmpl w:val="2128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A049F"/>
    <w:multiLevelType w:val="hybridMultilevel"/>
    <w:tmpl w:val="0CEAC462"/>
    <w:lvl w:ilvl="0" w:tplc="95661962">
      <w:numFmt w:val="bullet"/>
      <w:lvlText w:val="-"/>
      <w:lvlJc w:val="left"/>
      <w:pPr>
        <w:ind w:left="720" w:hanging="360"/>
      </w:pPr>
      <w:rPr>
        <w:rFonts w:ascii="Arial" w:eastAsia="Arial"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0C41455"/>
    <w:multiLevelType w:val="hybridMultilevel"/>
    <w:tmpl w:val="7BFA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3E2C14"/>
    <w:multiLevelType w:val="hybridMultilevel"/>
    <w:tmpl w:val="4D16CC36"/>
    <w:lvl w:ilvl="0" w:tplc="3234712E">
      <w:start w:val="2"/>
      <w:numFmt w:val="bullet"/>
      <w:lvlText w:val="-"/>
      <w:lvlJc w:val="left"/>
      <w:pPr>
        <w:ind w:left="720" w:hanging="360"/>
      </w:pPr>
      <w:rPr>
        <w:rFonts w:ascii="Arial" w:eastAsia="Arial"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A380E9B"/>
    <w:multiLevelType w:val="hybridMultilevel"/>
    <w:tmpl w:val="E7BA5BA8"/>
    <w:lvl w:ilvl="0" w:tplc="D67E1FBC">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327F17"/>
    <w:multiLevelType w:val="hybridMultilevel"/>
    <w:tmpl w:val="E318CD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54165504">
    <w:abstractNumId w:val="1"/>
  </w:num>
  <w:num w:numId="2" w16cid:durableId="1987127254">
    <w:abstractNumId w:val="7"/>
  </w:num>
  <w:num w:numId="3" w16cid:durableId="643435558">
    <w:abstractNumId w:val="3"/>
  </w:num>
  <w:num w:numId="4" w16cid:durableId="377515495">
    <w:abstractNumId w:val="0"/>
  </w:num>
  <w:num w:numId="5" w16cid:durableId="1786382455">
    <w:abstractNumId w:val="4"/>
  </w:num>
  <w:num w:numId="6" w16cid:durableId="1633824157">
    <w:abstractNumId w:val="5"/>
  </w:num>
  <w:num w:numId="7" w16cid:durableId="1968731488">
    <w:abstractNumId w:val="2"/>
  </w:num>
  <w:num w:numId="8" w16cid:durableId="428426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1377-0166-1451, v. 3"/>
    <w:docVar w:name="ndGeneratedStampLocation" w:val="ExceptFirst"/>
  </w:docVars>
  <w:rsids>
    <w:rsidRoot w:val="00325581"/>
    <w:rsid w:val="000026F1"/>
    <w:rsid w:val="000052D8"/>
    <w:rsid w:val="00005425"/>
    <w:rsid w:val="00013D1F"/>
    <w:rsid w:val="00020E8D"/>
    <w:rsid w:val="000234E4"/>
    <w:rsid w:val="0002663B"/>
    <w:rsid w:val="00027EB9"/>
    <w:rsid w:val="0005043E"/>
    <w:rsid w:val="00050B13"/>
    <w:rsid w:val="0005435D"/>
    <w:rsid w:val="00065503"/>
    <w:rsid w:val="0007171F"/>
    <w:rsid w:val="000735C2"/>
    <w:rsid w:val="00076DD5"/>
    <w:rsid w:val="0008018D"/>
    <w:rsid w:val="00081CFD"/>
    <w:rsid w:val="000A708A"/>
    <w:rsid w:val="000B2859"/>
    <w:rsid w:val="000B2B65"/>
    <w:rsid w:val="000B2EE9"/>
    <w:rsid w:val="000C131D"/>
    <w:rsid w:val="000C1B1B"/>
    <w:rsid w:val="000C4C9C"/>
    <w:rsid w:val="000D2EF5"/>
    <w:rsid w:val="000D59E2"/>
    <w:rsid w:val="000F042A"/>
    <w:rsid w:val="000F2F84"/>
    <w:rsid w:val="001020D4"/>
    <w:rsid w:val="001050B2"/>
    <w:rsid w:val="0011068A"/>
    <w:rsid w:val="001264B1"/>
    <w:rsid w:val="00126BFA"/>
    <w:rsid w:val="0013427F"/>
    <w:rsid w:val="0014772A"/>
    <w:rsid w:val="001535B4"/>
    <w:rsid w:val="00156094"/>
    <w:rsid w:val="001600D7"/>
    <w:rsid w:val="00171E04"/>
    <w:rsid w:val="00176095"/>
    <w:rsid w:val="00185988"/>
    <w:rsid w:val="00187A0E"/>
    <w:rsid w:val="001930C7"/>
    <w:rsid w:val="00194662"/>
    <w:rsid w:val="001A433C"/>
    <w:rsid w:val="001A5D44"/>
    <w:rsid w:val="001B0A5B"/>
    <w:rsid w:val="001B2274"/>
    <w:rsid w:val="001B306D"/>
    <w:rsid w:val="001B4BB8"/>
    <w:rsid w:val="001B5205"/>
    <w:rsid w:val="001B66F5"/>
    <w:rsid w:val="001C0041"/>
    <w:rsid w:val="001C2C1C"/>
    <w:rsid w:val="001C4C1E"/>
    <w:rsid w:val="001C4EAA"/>
    <w:rsid w:val="001D2C5D"/>
    <w:rsid w:val="001E045A"/>
    <w:rsid w:val="001E6C9F"/>
    <w:rsid w:val="001F1CFC"/>
    <w:rsid w:val="00202926"/>
    <w:rsid w:val="002062F1"/>
    <w:rsid w:val="0020696B"/>
    <w:rsid w:val="00210B83"/>
    <w:rsid w:val="002121FF"/>
    <w:rsid w:val="00216D28"/>
    <w:rsid w:val="00232F26"/>
    <w:rsid w:val="002401F1"/>
    <w:rsid w:val="00243466"/>
    <w:rsid w:val="00250AD5"/>
    <w:rsid w:val="00255CAD"/>
    <w:rsid w:val="00255D83"/>
    <w:rsid w:val="00257FD0"/>
    <w:rsid w:val="00271485"/>
    <w:rsid w:val="002833F3"/>
    <w:rsid w:val="00284023"/>
    <w:rsid w:val="00285679"/>
    <w:rsid w:val="002A1081"/>
    <w:rsid w:val="002A2AE1"/>
    <w:rsid w:val="002A7D2A"/>
    <w:rsid w:val="002B3E55"/>
    <w:rsid w:val="002B62BE"/>
    <w:rsid w:val="002B69A2"/>
    <w:rsid w:val="002E2C65"/>
    <w:rsid w:val="002E6750"/>
    <w:rsid w:val="002F1E2A"/>
    <w:rsid w:val="002F453B"/>
    <w:rsid w:val="002F61CF"/>
    <w:rsid w:val="00305573"/>
    <w:rsid w:val="00312DA0"/>
    <w:rsid w:val="003160D6"/>
    <w:rsid w:val="00325581"/>
    <w:rsid w:val="00326B4A"/>
    <w:rsid w:val="003305A4"/>
    <w:rsid w:val="00342A5A"/>
    <w:rsid w:val="00353DC5"/>
    <w:rsid w:val="00354D68"/>
    <w:rsid w:val="003573A3"/>
    <w:rsid w:val="00364395"/>
    <w:rsid w:val="003854FB"/>
    <w:rsid w:val="00393A5E"/>
    <w:rsid w:val="003A1C86"/>
    <w:rsid w:val="003A2B44"/>
    <w:rsid w:val="003A56A3"/>
    <w:rsid w:val="003B2729"/>
    <w:rsid w:val="003B5F1E"/>
    <w:rsid w:val="003C03C5"/>
    <w:rsid w:val="003C2274"/>
    <w:rsid w:val="003D5D8C"/>
    <w:rsid w:val="003D62B6"/>
    <w:rsid w:val="003D6409"/>
    <w:rsid w:val="003E1E7B"/>
    <w:rsid w:val="003E65FB"/>
    <w:rsid w:val="003F416D"/>
    <w:rsid w:val="003F65E6"/>
    <w:rsid w:val="004038AE"/>
    <w:rsid w:val="00407CFA"/>
    <w:rsid w:val="004114CE"/>
    <w:rsid w:val="00411785"/>
    <w:rsid w:val="00412789"/>
    <w:rsid w:val="00421710"/>
    <w:rsid w:val="00432791"/>
    <w:rsid w:val="004336ED"/>
    <w:rsid w:val="00441B79"/>
    <w:rsid w:val="00442187"/>
    <w:rsid w:val="00443D64"/>
    <w:rsid w:val="00457E85"/>
    <w:rsid w:val="00465D02"/>
    <w:rsid w:val="00470941"/>
    <w:rsid w:val="00474BC3"/>
    <w:rsid w:val="0048197D"/>
    <w:rsid w:val="0048442F"/>
    <w:rsid w:val="004877BE"/>
    <w:rsid w:val="00494473"/>
    <w:rsid w:val="00494D03"/>
    <w:rsid w:val="004A595B"/>
    <w:rsid w:val="004B68D2"/>
    <w:rsid w:val="004C0166"/>
    <w:rsid w:val="004C6D0A"/>
    <w:rsid w:val="004D31B0"/>
    <w:rsid w:val="004D408E"/>
    <w:rsid w:val="004E3855"/>
    <w:rsid w:val="004E5C43"/>
    <w:rsid w:val="004F7C40"/>
    <w:rsid w:val="005012E6"/>
    <w:rsid w:val="00506C33"/>
    <w:rsid w:val="00506C98"/>
    <w:rsid w:val="005104BB"/>
    <w:rsid w:val="0051247F"/>
    <w:rsid w:val="00523311"/>
    <w:rsid w:val="00540347"/>
    <w:rsid w:val="0054166F"/>
    <w:rsid w:val="00544EA2"/>
    <w:rsid w:val="00546496"/>
    <w:rsid w:val="00547AAE"/>
    <w:rsid w:val="00547C8D"/>
    <w:rsid w:val="00551D9F"/>
    <w:rsid w:val="0055415C"/>
    <w:rsid w:val="0055733B"/>
    <w:rsid w:val="0056707C"/>
    <w:rsid w:val="005676BE"/>
    <w:rsid w:val="00567CFA"/>
    <w:rsid w:val="005752BB"/>
    <w:rsid w:val="0057620A"/>
    <w:rsid w:val="00576CEF"/>
    <w:rsid w:val="00586193"/>
    <w:rsid w:val="005868DB"/>
    <w:rsid w:val="00587252"/>
    <w:rsid w:val="00593569"/>
    <w:rsid w:val="0059408B"/>
    <w:rsid w:val="005964A3"/>
    <w:rsid w:val="005968F7"/>
    <w:rsid w:val="005969D0"/>
    <w:rsid w:val="005A342B"/>
    <w:rsid w:val="005A661B"/>
    <w:rsid w:val="005A742E"/>
    <w:rsid w:val="005B3162"/>
    <w:rsid w:val="005C24AC"/>
    <w:rsid w:val="005D3E61"/>
    <w:rsid w:val="005E2B16"/>
    <w:rsid w:val="005E627F"/>
    <w:rsid w:val="005F159A"/>
    <w:rsid w:val="005F54F7"/>
    <w:rsid w:val="005F6A29"/>
    <w:rsid w:val="005F7CAB"/>
    <w:rsid w:val="006007A0"/>
    <w:rsid w:val="00601AB8"/>
    <w:rsid w:val="00613D3F"/>
    <w:rsid w:val="00615213"/>
    <w:rsid w:val="006231FA"/>
    <w:rsid w:val="00625D9D"/>
    <w:rsid w:val="006301B4"/>
    <w:rsid w:val="00656205"/>
    <w:rsid w:val="00661FFB"/>
    <w:rsid w:val="006633CF"/>
    <w:rsid w:val="00666681"/>
    <w:rsid w:val="00676862"/>
    <w:rsid w:val="00676A6B"/>
    <w:rsid w:val="006801B4"/>
    <w:rsid w:val="00684B13"/>
    <w:rsid w:val="00686EE6"/>
    <w:rsid w:val="00687F67"/>
    <w:rsid w:val="00690134"/>
    <w:rsid w:val="0069411B"/>
    <w:rsid w:val="006A64AB"/>
    <w:rsid w:val="006B54E4"/>
    <w:rsid w:val="006B62BF"/>
    <w:rsid w:val="006B76C9"/>
    <w:rsid w:val="006D57D3"/>
    <w:rsid w:val="006D6313"/>
    <w:rsid w:val="006D7026"/>
    <w:rsid w:val="006E321C"/>
    <w:rsid w:val="0070070D"/>
    <w:rsid w:val="00701104"/>
    <w:rsid w:val="00701B95"/>
    <w:rsid w:val="0070374D"/>
    <w:rsid w:val="00711DC1"/>
    <w:rsid w:val="00724AD0"/>
    <w:rsid w:val="007349CF"/>
    <w:rsid w:val="00745A0B"/>
    <w:rsid w:val="00760FB8"/>
    <w:rsid w:val="007667C3"/>
    <w:rsid w:val="00773C7E"/>
    <w:rsid w:val="0079152A"/>
    <w:rsid w:val="00796585"/>
    <w:rsid w:val="007A0184"/>
    <w:rsid w:val="007A5302"/>
    <w:rsid w:val="007A733E"/>
    <w:rsid w:val="007B1C97"/>
    <w:rsid w:val="007B411F"/>
    <w:rsid w:val="007B6594"/>
    <w:rsid w:val="007B7F30"/>
    <w:rsid w:val="007C58D0"/>
    <w:rsid w:val="007C7F96"/>
    <w:rsid w:val="007D2BC1"/>
    <w:rsid w:val="007E23B9"/>
    <w:rsid w:val="007E68CE"/>
    <w:rsid w:val="00806503"/>
    <w:rsid w:val="00807322"/>
    <w:rsid w:val="00810E4C"/>
    <w:rsid w:val="00811924"/>
    <w:rsid w:val="00812912"/>
    <w:rsid w:val="008135C6"/>
    <w:rsid w:val="00820609"/>
    <w:rsid w:val="008422EA"/>
    <w:rsid w:val="0084389D"/>
    <w:rsid w:val="00843A91"/>
    <w:rsid w:val="00846249"/>
    <w:rsid w:val="008517CF"/>
    <w:rsid w:val="00854EF0"/>
    <w:rsid w:val="008555E3"/>
    <w:rsid w:val="00863F8B"/>
    <w:rsid w:val="00865013"/>
    <w:rsid w:val="00871CD4"/>
    <w:rsid w:val="00892553"/>
    <w:rsid w:val="00894F31"/>
    <w:rsid w:val="008A4FCF"/>
    <w:rsid w:val="008B0A62"/>
    <w:rsid w:val="008B41F2"/>
    <w:rsid w:val="008B50D0"/>
    <w:rsid w:val="008C0B92"/>
    <w:rsid w:val="008C1EC8"/>
    <w:rsid w:val="008C7917"/>
    <w:rsid w:val="008E48D5"/>
    <w:rsid w:val="008F348D"/>
    <w:rsid w:val="008F527C"/>
    <w:rsid w:val="009148D4"/>
    <w:rsid w:val="00920575"/>
    <w:rsid w:val="0092340B"/>
    <w:rsid w:val="00923F20"/>
    <w:rsid w:val="00925197"/>
    <w:rsid w:val="00926ECB"/>
    <w:rsid w:val="00934669"/>
    <w:rsid w:val="009362AF"/>
    <w:rsid w:val="00940E2F"/>
    <w:rsid w:val="009464E2"/>
    <w:rsid w:val="00966C02"/>
    <w:rsid w:val="00980E61"/>
    <w:rsid w:val="0099722F"/>
    <w:rsid w:val="009A32FE"/>
    <w:rsid w:val="009A3ADA"/>
    <w:rsid w:val="009A6149"/>
    <w:rsid w:val="009A69F4"/>
    <w:rsid w:val="009B1682"/>
    <w:rsid w:val="009B76A9"/>
    <w:rsid w:val="009C1DD5"/>
    <w:rsid w:val="009C52C2"/>
    <w:rsid w:val="009C5573"/>
    <w:rsid w:val="009C5B68"/>
    <w:rsid w:val="009D072D"/>
    <w:rsid w:val="009E00BB"/>
    <w:rsid w:val="009E38F9"/>
    <w:rsid w:val="009F2505"/>
    <w:rsid w:val="00A04F67"/>
    <w:rsid w:val="00A1417C"/>
    <w:rsid w:val="00A204A8"/>
    <w:rsid w:val="00A20680"/>
    <w:rsid w:val="00A24ED1"/>
    <w:rsid w:val="00A27648"/>
    <w:rsid w:val="00A30E02"/>
    <w:rsid w:val="00A35395"/>
    <w:rsid w:val="00A6531A"/>
    <w:rsid w:val="00A72178"/>
    <w:rsid w:val="00A74ADD"/>
    <w:rsid w:val="00A8102F"/>
    <w:rsid w:val="00A814A8"/>
    <w:rsid w:val="00A815AE"/>
    <w:rsid w:val="00A82B29"/>
    <w:rsid w:val="00A82CB4"/>
    <w:rsid w:val="00A8582E"/>
    <w:rsid w:val="00A90A96"/>
    <w:rsid w:val="00A92F87"/>
    <w:rsid w:val="00A93327"/>
    <w:rsid w:val="00A950FC"/>
    <w:rsid w:val="00AA2E2B"/>
    <w:rsid w:val="00AA3832"/>
    <w:rsid w:val="00AA385B"/>
    <w:rsid w:val="00AA4E7D"/>
    <w:rsid w:val="00AA52D9"/>
    <w:rsid w:val="00AC253D"/>
    <w:rsid w:val="00AC6AF5"/>
    <w:rsid w:val="00AC7166"/>
    <w:rsid w:val="00AE76B8"/>
    <w:rsid w:val="00AF24EE"/>
    <w:rsid w:val="00AF4433"/>
    <w:rsid w:val="00AF4C09"/>
    <w:rsid w:val="00B028C3"/>
    <w:rsid w:val="00B05436"/>
    <w:rsid w:val="00B1260E"/>
    <w:rsid w:val="00B13E20"/>
    <w:rsid w:val="00B14192"/>
    <w:rsid w:val="00B14E94"/>
    <w:rsid w:val="00B21CF5"/>
    <w:rsid w:val="00B23B8E"/>
    <w:rsid w:val="00B23CB6"/>
    <w:rsid w:val="00B23ECB"/>
    <w:rsid w:val="00B25952"/>
    <w:rsid w:val="00B42AE1"/>
    <w:rsid w:val="00B4383B"/>
    <w:rsid w:val="00B46018"/>
    <w:rsid w:val="00B47AF4"/>
    <w:rsid w:val="00B600BB"/>
    <w:rsid w:val="00B70A36"/>
    <w:rsid w:val="00B72DBB"/>
    <w:rsid w:val="00B73011"/>
    <w:rsid w:val="00B7382B"/>
    <w:rsid w:val="00B7526D"/>
    <w:rsid w:val="00B825C5"/>
    <w:rsid w:val="00B829F0"/>
    <w:rsid w:val="00B82E73"/>
    <w:rsid w:val="00B86C1B"/>
    <w:rsid w:val="00B87D79"/>
    <w:rsid w:val="00B9514A"/>
    <w:rsid w:val="00B97FB1"/>
    <w:rsid w:val="00BA3FEB"/>
    <w:rsid w:val="00BB1C20"/>
    <w:rsid w:val="00BB20B3"/>
    <w:rsid w:val="00BB2985"/>
    <w:rsid w:val="00BB51CB"/>
    <w:rsid w:val="00BB5E60"/>
    <w:rsid w:val="00BC09A0"/>
    <w:rsid w:val="00BC2412"/>
    <w:rsid w:val="00BC3AF3"/>
    <w:rsid w:val="00BD0328"/>
    <w:rsid w:val="00BD54EE"/>
    <w:rsid w:val="00BD621D"/>
    <w:rsid w:val="00BD7B35"/>
    <w:rsid w:val="00BE01A2"/>
    <w:rsid w:val="00BE3675"/>
    <w:rsid w:val="00BE4199"/>
    <w:rsid w:val="00BE4395"/>
    <w:rsid w:val="00BE66B7"/>
    <w:rsid w:val="00C0456A"/>
    <w:rsid w:val="00C06D55"/>
    <w:rsid w:val="00C16165"/>
    <w:rsid w:val="00C27F34"/>
    <w:rsid w:val="00C31897"/>
    <w:rsid w:val="00C34FCD"/>
    <w:rsid w:val="00C42402"/>
    <w:rsid w:val="00C4796B"/>
    <w:rsid w:val="00C53AC2"/>
    <w:rsid w:val="00C64CCD"/>
    <w:rsid w:val="00C70FCD"/>
    <w:rsid w:val="00C71D6C"/>
    <w:rsid w:val="00C71E7D"/>
    <w:rsid w:val="00C76E53"/>
    <w:rsid w:val="00C77F6A"/>
    <w:rsid w:val="00C87F96"/>
    <w:rsid w:val="00C90681"/>
    <w:rsid w:val="00CA47AD"/>
    <w:rsid w:val="00CA5740"/>
    <w:rsid w:val="00CA5B19"/>
    <w:rsid w:val="00CA72EF"/>
    <w:rsid w:val="00CB5028"/>
    <w:rsid w:val="00CD04ED"/>
    <w:rsid w:val="00CD089C"/>
    <w:rsid w:val="00CD3BE9"/>
    <w:rsid w:val="00CD53D5"/>
    <w:rsid w:val="00CD6FE4"/>
    <w:rsid w:val="00CE17FF"/>
    <w:rsid w:val="00CE2F78"/>
    <w:rsid w:val="00CE52AE"/>
    <w:rsid w:val="00CE5483"/>
    <w:rsid w:val="00CE6EA7"/>
    <w:rsid w:val="00CF1354"/>
    <w:rsid w:val="00CF4636"/>
    <w:rsid w:val="00CF75A6"/>
    <w:rsid w:val="00D01DC9"/>
    <w:rsid w:val="00D026AB"/>
    <w:rsid w:val="00D02B8C"/>
    <w:rsid w:val="00D02D73"/>
    <w:rsid w:val="00D10B14"/>
    <w:rsid w:val="00D141E9"/>
    <w:rsid w:val="00D26E75"/>
    <w:rsid w:val="00D351E8"/>
    <w:rsid w:val="00D35272"/>
    <w:rsid w:val="00D35305"/>
    <w:rsid w:val="00D35775"/>
    <w:rsid w:val="00D43760"/>
    <w:rsid w:val="00D43E73"/>
    <w:rsid w:val="00D50FE5"/>
    <w:rsid w:val="00D71BAE"/>
    <w:rsid w:val="00D7203C"/>
    <w:rsid w:val="00D720F3"/>
    <w:rsid w:val="00D83CDD"/>
    <w:rsid w:val="00D8621F"/>
    <w:rsid w:val="00D90436"/>
    <w:rsid w:val="00D91B83"/>
    <w:rsid w:val="00D92000"/>
    <w:rsid w:val="00D93218"/>
    <w:rsid w:val="00D93674"/>
    <w:rsid w:val="00D9574C"/>
    <w:rsid w:val="00D95C3E"/>
    <w:rsid w:val="00DA124E"/>
    <w:rsid w:val="00DB7126"/>
    <w:rsid w:val="00DC30DF"/>
    <w:rsid w:val="00DD121C"/>
    <w:rsid w:val="00DD4AAB"/>
    <w:rsid w:val="00DE6D76"/>
    <w:rsid w:val="00DE71BC"/>
    <w:rsid w:val="00DF0726"/>
    <w:rsid w:val="00DF2F74"/>
    <w:rsid w:val="00DF4A57"/>
    <w:rsid w:val="00DF5EEB"/>
    <w:rsid w:val="00E039AE"/>
    <w:rsid w:val="00E046AC"/>
    <w:rsid w:val="00E13994"/>
    <w:rsid w:val="00E13F4C"/>
    <w:rsid w:val="00E1496F"/>
    <w:rsid w:val="00E161FB"/>
    <w:rsid w:val="00E252FF"/>
    <w:rsid w:val="00E3104E"/>
    <w:rsid w:val="00E31416"/>
    <w:rsid w:val="00E31D04"/>
    <w:rsid w:val="00E338DF"/>
    <w:rsid w:val="00E33E16"/>
    <w:rsid w:val="00E402CC"/>
    <w:rsid w:val="00E57A53"/>
    <w:rsid w:val="00E74510"/>
    <w:rsid w:val="00E7698C"/>
    <w:rsid w:val="00E80658"/>
    <w:rsid w:val="00E821A6"/>
    <w:rsid w:val="00E838EE"/>
    <w:rsid w:val="00E937E6"/>
    <w:rsid w:val="00EA077B"/>
    <w:rsid w:val="00EA5B67"/>
    <w:rsid w:val="00EA704E"/>
    <w:rsid w:val="00EB1874"/>
    <w:rsid w:val="00EB1CE4"/>
    <w:rsid w:val="00EB30FD"/>
    <w:rsid w:val="00EC7664"/>
    <w:rsid w:val="00ED0165"/>
    <w:rsid w:val="00ED43EE"/>
    <w:rsid w:val="00EF12C3"/>
    <w:rsid w:val="00EF2F05"/>
    <w:rsid w:val="00EF3685"/>
    <w:rsid w:val="00F07CFC"/>
    <w:rsid w:val="00F176E0"/>
    <w:rsid w:val="00F26F2A"/>
    <w:rsid w:val="00F3051A"/>
    <w:rsid w:val="00F351B0"/>
    <w:rsid w:val="00F35C34"/>
    <w:rsid w:val="00F40991"/>
    <w:rsid w:val="00F41E32"/>
    <w:rsid w:val="00F57D5A"/>
    <w:rsid w:val="00F61533"/>
    <w:rsid w:val="00F63DF9"/>
    <w:rsid w:val="00F644F3"/>
    <w:rsid w:val="00F66BC4"/>
    <w:rsid w:val="00F67BF2"/>
    <w:rsid w:val="00F75D53"/>
    <w:rsid w:val="00F77AB8"/>
    <w:rsid w:val="00F81F3C"/>
    <w:rsid w:val="00F87EF9"/>
    <w:rsid w:val="00F910B5"/>
    <w:rsid w:val="00FA0DEA"/>
    <w:rsid w:val="00FC5528"/>
    <w:rsid w:val="00FE04B6"/>
    <w:rsid w:val="00FE232E"/>
    <w:rsid w:val="00FE3D23"/>
    <w:rsid w:val="00FE50AB"/>
    <w:rsid w:val="00FE6F46"/>
    <w:rsid w:val="05728536"/>
    <w:rsid w:val="06E37CA9"/>
    <w:rsid w:val="06F8EA19"/>
    <w:rsid w:val="088FA00F"/>
    <w:rsid w:val="0CDCFA7B"/>
    <w:rsid w:val="1137CE67"/>
    <w:rsid w:val="12FCAED2"/>
    <w:rsid w:val="15A9E5EE"/>
    <w:rsid w:val="207E4E3C"/>
    <w:rsid w:val="24090AA8"/>
    <w:rsid w:val="242EDD8D"/>
    <w:rsid w:val="25090A11"/>
    <w:rsid w:val="293BD5DC"/>
    <w:rsid w:val="2D39974D"/>
    <w:rsid w:val="30048293"/>
    <w:rsid w:val="30E02CC1"/>
    <w:rsid w:val="3DE102F7"/>
    <w:rsid w:val="4084E009"/>
    <w:rsid w:val="44D40681"/>
    <w:rsid w:val="47929DC8"/>
    <w:rsid w:val="47B575E9"/>
    <w:rsid w:val="4A374F54"/>
    <w:rsid w:val="4A71360D"/>
    <w:rsid w:val="4C7459B7"/>
    <w:rsid w:val="4CF7E3EF"/>
    <w:rsid w:val="4FBB9A72"/>
    <w:rsid w:val="501AB5BC"/>
    <w:rsid w:val="50DAD7A0"/>
    <w:rsid w:val="59AFBFD6"/>
    <w:rsid w:val="5C3AF770"/>
    <w:rsid w:val="5DE6D40D"/>
    <w:rsid w:val="5E47D5DA"/>
    <w:rsid w:val="5E777995"/>
    <w:rsid w:val="685E1537"/>
    <w:rsid w:val="7057FBF4"/>
    <w:rsid w:val="70727CEE"/>
    <w:rsid w:val="719DE4C3"/>
    <w:rsid w:val="76F87693"/>
    <w:rsid w:val="7BE179E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E3012"/>
  <w15:docId w15:val="{F74E460C-F1AB-4794-93A5-2A4407757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8274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7408"/>
    <w:rPr>
      <w:b/>
      <w:bCs/>
    </w:rPr>
  </w:style>
  <w:style w:type="character" w:styleId="Hyperlink">
    <w:name w:val="Hyperlink"/>
    <w:basedOn w:val="DefaultParagraphFont"/>
    <w:uiPriority w:val="99"/>
    <w:unhideWhenUsed/>
    <w:rsid w:val="00827408"/>
    <w:rPr>
      <w:color w:val="0000FF"/>
      <w:u w:val="single"/>
    </w:rPr>
  </w:style>
  <w:style w:type="character" w:styleId="Emphasis">
    <w:name w:val="Emphasis"/>
    <w:basedOn w:val="DefaultParagraphFont"/>
    <w:uiPriority w:val="20"/>
    <w:qFormat/>
    <w:rsid w:val="00827408"/>
    <w:rPr>
      <w:i/>
      <w:iCs/>
    </w:rPr>
  </w:style>
  <w:style w:type="paragraph" w:styleId="Header">
    <w:name w:val="header"/>
    <w:basedOn w:val="Normal"/>
    <w:link w:val="HeaderChar"/>
    <w:uiPriority w:val="99"/>
    <w:unhideWhenUsed/>
    <w:rsid w:val="00FE3D23"/>
    <w:pPr>
      <w:tabs>
        <w:tab w:val="center" w:pos="4680"/>
        <w:tab w:val="right" w:pos="9360"/>
      </w:tabs>
      <w:spacing w:line="240" w:lineRule="auto"/>
    </w:pPr>
  </w:style>
  <w:style w:type="character" w:customStyle="1" w:styleId="HeaderChar">
    <w:name w:val="Header Char"/>
    <w:basedOn w:val="DefaultParagraphFont"/>
    <w:link w:val="Header"/>
    <w:uiPriority w:val="99"/>
    <w:rsid w:val="00FE3D23"/>
  </w:style>
  <w:style w:type="paragraph" w:styleId="Footer">
    <w:name w:val="footer"/>
    <w:basedOn w:val="Normal"/>
    <w:link w:val="FooterChar"/>
    <w:uiPriority w:val="99"/>
    <w:unhideWhenUsed/>
    <w:rsid w:val="00FE3D23"/>
    <w:pPr>
      <w:tabs>
        <w:tab w:val="center" w:pos="4680"/>
        <w:tab w:val="right" w:pos="9360"/>
      </w:tabs>
      <w:spacing w:line="240" w:lineRule="auto"/>
    </w:pPr>
  </w:style>
  <w:style w:type="character" w:customStyle="1" w:styleId="FooterChar">
    <w:name w:val="Footer Char"/>
    <w:basedOn w:val="DefaultParagraphFont"/>
    <w:link w:val="Footer"/>
    <w:uiPriority w:val="99"/>
    <w:rsid w:val="00FE3D23"/>
  </w:style>
  <w:style w:type="paragraph" w:styleId="Revision">
    <w:name w:val="Revision"/>
    <w:hidden/>
    <w:uiPriority w:val="99"/>
    <w:semiHidden/>
    <w:rsid w:val="003F65E6"/>
    <w:pPr>
      <w:spacing w:line="240" w:lineRule="auto"/>
    </w:pPr>
  </w:style>
  <w:style w:type="character" w:styleId="UnresolvedMention">
    <w:name w:val="Unresolved Mention"/>
    <w:basedOn w:val="DefaultParagraphFont"/>
    <w:uiPriority w:val="99"/>
    <w:semiHidden/>
    <w:unhideWhenUsed/>
    <w:rsid w:val="003F65E6"/>
    <w:rPr>
      <w:color w:val="605E5C"/>
      <w:shd w:val="clear" w:color="auto" w:fill="E1DFDD"/>
    </w:rPr>
  </w:style>
  <w:style w:type="paragraph" w:styleId="BodyText">
    <w:name w:val="Body Text"/>
    <w:basedOn w:val="Normal"/>
    <w:link w:val="BodyTextChar"/>
    <w:uiPriority w:val="1"/>
    <w:qFormat/>
    <w:rsid w:val="003F65E6"/>
    <w:pPr>
      <w:widowControl w:val="0"/>
      <w:autoSpaceDE w:val="0"/>
      <w:autoSpaceDN w:val="0"/>
      <w:spacing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3F65E6"/>
    <w:rPr>
      <w:rFonts w:ascii="Times New Roman" w:eastAsia="Times New Roman" w:hAnsi="Times New Roman" w:cs="Times New Roman"/>
      <w:sz w:val="24"/>
      <w:szCs w:val="24"/>
      <w:lang w:val="en-US" w:eastAsia="en-US"/>
    </w:rPr>
  </w:style>
  <w:style w:type="character" w:styleId="FollowedHyperlink">
    <w:name w:val="FollowedHyperlink"/>
    <w:basedOn w:val="DefaultParagraphFont"/>
    <w:uiPriority w:val="99"/>
    <w:semiHidden/>
    <w:unhideWhenUsed/>
    <w:rsid w:val="003F65E6"/>
    <w:rPr>
      <w:color w:val="800080" w:themeColor="followedHyperlink"/>
      <w:u w:val="single"/>
    </w:rPr>
  </w:style>
  <w:style w:type="paragraph" w:styleId="ListParagraph">
    <w:name w:val="List Paragraph"/>
    <w:basedOn w:val="Normal"/>
    <w:uiPriority w:val="34"/>
    <w:qFormat/>
    <w:rsid w:val="001E045A"/>
    <w:pPr>
      <w:ind w:left="720"/>
      <w:contextualSpacing/>
    </w:pPr>
  </w:style>
  <w:style w:type="character" w:styleId="CommentReference">
    <w:name w:val="annotation reference"/>
    <w:basedOn w:val="DefaultParagraphFont"/>
    <w:uiPriority w:val="99"/>
    <w:semiHidden/>
    <w:unhideWhenUsed/>
    <w:rsid w:val="00601AB8"/>
    <w:rPr>
      <w:sz w:val="16"/>
      <w:szCs w:val="16"/>
    </w:rPr>
  </w:style>
  <w:style w:type="paragraph" w:styleId="CommentText">
    <w:name w:val="annotation text"/>
    <w:basedOn w:val="Normal"/>
    <w:link w:val="CommentTextChar"/>
    <w:uiPriority w:val="99"/>
    <w:unhideWhenUsed/>
    <w:rsid w:val="00601AB8"/>
    <w:pPr>
      <w:spacing w:line="240" w:lineRule="auto"/>
    </w:pPr>
    <w:rPr>
      <w:sz w:val="20"/>
      <w:szCs w:val="20"/>
    </w:rPr>
  </w:style>
  <w:style w:type="character" w:customStyle="1" w:styleId="CommentTextChar">
    <w:name w:val="Comment Text Char"/>
    <w:basedOn w:val="DefaultParagraphFont"/>
    <w:link w:val="CommentText"/>
    <w:uiPriority w:val="99"/>
    <w:rsid w:val="00601AB8"/>
    <w:rPr>
      <w:sz w:val="20"/>
      <w:szCs w:val="20"/>
    </w:rPr>
  </w:style>
  <w:style w:type="paragraph" w:styleId="CommentSubject">
    <w:name w:val="annotation subject"/>
    <w:basedOn w:val="CommentText"/>
    <w:next w:val="CommentText"/>
    <w:link w:val="CommentSubjectChar"/>
    <w:uiPriority w:val="99"/>
    <w:semiHidden/>
    <w:unhideWhenUsed/>
    <w:rsid w:val="00601AB8"/>
    <w:rPr>
      <w:b/>
      <w:bCs/>
    </w:rPr>
  </w:style>
  <w:style w:type="character" w:customStyle="1" w:styleId="CommentSubjectChar">
    <w:name w:val="Comment Subject Char"/>
    <w:basedOn w:val="CommentTextChar"/>
    <w:link w:val="CommentSubject"/>
    <w:uiPriority w:val="99"/>
    <w:semiHidden/>
    <w:rsid w:val="00601AB8"/>
    <w:rPr>
      <w:b/>
      <w:bCs/>
      <w:sz w:val="20"/>
      <w:szCs w:val="20"/>
    </w:rPr>
  </w:style>
  <w:style w:type="paragraph" w:styleId="Caption">
    <w:name w:val="caption"/>
    <w:basedOn w:val="Normal"/>
    <w:next w:val="Normal"/>
    <w:uiPriority w:val="35"/>
    <w:unhideWhenUsed/>
    <w:qFormat/>
    <w:rsid w:val="00AF4C09"/>
    <w:pPr>
      <w:spacing w:after="200" w:line="240" w:lineRule="auto"/>
    </w:pPr>
    <w:rPr>
      <w:i/>
      <w:iCs/>
      <w:color w:val="1F497D" w:themeColor="text2"/>
      <w:sz w:val="18"/>
      <w:szCs w:val="18"/>
    </w:rPr>
  </w:style>
  <w:style w:type="paragraph" w:styleId="FootnoteText">
    <w:name w:val="footnote text"/>
    <w:basedOn w:val="Normal"/>
    <w:link w:val="FootnoteTextChar"/>
    <w:uiPriority w:val="99"/>
    <w:unhideWhenUsed/>
    <w:rsid w:val="00A8582E"/>
    <w:pPr>
      <w:spacing w:line="240" w:lineRule="auto"/>
    </w:pPr>
    <w:rPr>
      <w:sz w:val="20"/>
      <w:szCs w:val="20"/>
    </w:rPr>
  </w:style>
  <w:style w:type="character" w:customStyle="1" w:styleId="FootnoteTextChar">
    <w:name w:val="Footnote Text Char"/>
    <w:basedOn w:val="DefaultParagraphFont"/>
    <w:link w:val="FootnoteText"/>
    <w:uiPriority w:val="99"/>
    <w:rsid w:val="00A8582E"/>
    <w:rPr>
      <w:sz w:val="20"/>
      <w:szCs w:val="20"/>
    </w:rPr>
  </w:style>
  <w:style w:type="character" w:styleId="FootnoteReference">
    <w:name w:val="footnote reference"/>
    <w:basedOn w:val="DefaultParagraphFont"/>
    <w:uiPriority w:val="99"/>
    <w:semiHidden/>
    <w:unhideWhenUsed/>
    <w:rsid w:val="00A8582E"/>
    <w:rPr>
      <w:vertAlign w:val="superscript"/>
    </w:rPr>
  </w:style>
  <w:style w:type="paragraph" w:customStyle="1" w:styleId="p1">
    <w:name w:val="p1"/>
    <w:basedOn w:val="Normal"/>
    <w:rsid w:val="00AF4433"/>
    <w:pPr>
      <w:spacing w:before="100" w:beforeAutospacing="1" w:after="100" w:afterAutospacing="1" w:line="240" w:lineRule="auto"/>
    </w:pPr>
    <w:rPr>
      <w:rFonts w:ascii="Times New Roman" w:eastAsiaTheme="minorEastAsia" w:hAnsi="Times New Roman" w:cs="Times New Roman"/>
      <w:sz w:val="24"/>
      <w:szCs w:val="24"/>
      <w:lang w:eastAsia="en-US"/>
    </w:rPr>
  </w:style>
  <w:style w:type="character" w:customStyle="1" w:styleId="s1">
    <w:name w:val="s1"/>
    <w:basedOn w:val="DefaultParagraphFont"/>
    <w:rsid w:val="00AF4433"/>
  </w:style>
  <w:style w:type="character" w:customStyle="1" w:styleId="apple-converted-space">
    <w:name w:val="apple-converted-space"/>
    <w:basedOn w:val="DefaultParagraphFont"/>
    <w:rsid w:val="00AF4433"/>
  </w:style>
  <w:style w:type="character" w:customStyle="1" w:styleId="s2">
    <w:name w:val="s2"/>
    <w:basedOn w:val="DefaultParagraphFont"/>
    <w:rsid w:val="003B2729"/>
  </w:style>
  <w:style w:type="paragraph" w:customStyle="1" w:styleId="p2">
    <w:name w:val="p2"/>
    <w:basedOn w:val="Normal"/>
    <w:rsid w:val="003B2729"/>
    <w:pPr>
      <w:spacing w:before="100" w:beforeAutospacing="1" w:after="100" w:afterAutospacing="1" w:line="240" w:lineRule="auto"/>
    </w:pPr>
    <w:rPr>
      <w:rFonts w:ascii="Times New Roman" w:eastAsiaTheme="minorEastAsia"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6314">
      <w:bodyDiv w:val="1"/>
      <w:marLeft w:val="0"/>
      <w:marRight w:val="0"/>
      <w:marTop w:val="0"/>
      <w:marBottom w:val="0"/>
      <w:divBdr>
        <w:top w:val="none" w:sz="0" w:space="0" w:color="auto"/>
        <w:left w:val="none" w:sz="0" w:space="0" w:color="auto"/>
        <w:bottom w:val="none" w:sz="0" w:space="0" w:color="auto"/>
        <w:right w:val="none" w:sz="0" w:space="0" w:color="auto"/>
      </w:divBdr>
    </w:div>
    <w:div w:id="2114932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p-scorpiogold-2025.s3.ca-central-1.amazonaws.com/media/2025/10/Scorpio-Gold-Manhattan-Mineral-Resource-Estimate-43-101-FINAL-2025-10-23.pdf" TargetMode="External"/><Relationship Id="rId18" Type="http://schemas.openxmlformats.org/officeDocument/2006/relationships/footer" Target="footer1.xml"/><Relationship Id="rId26" Type="http://schemas.openxmlformats.org/officeDocument/2006/relationships/hyperlink" Target="https://www.linkedin.com/company/scorpio-gold-coporation/about/?viewAsMember=tru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s://www.facebook.com/profile.php?id=61556975236485"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scorpiogold.com/news/scorpio-gold-closes-purchase-of-kinross-manhattan-property-nye-county-nevada/" TargetMode="External"/><Relationship Id="rId29" Type="http://schemas.openxmlformats.org/officeDocument/2006/relationships/hyperlink" Target="https://scorpiogold.com/contact/subscrib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corpiogold.com/contact/subscribe/"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zayn@scorpiogold.com" TargetMode="External"/><Relationship Id="rId28" Type="http://schemas.openxmlformats.org/officeDocument/2006/relationships/hyperlink" Target="https://www.youtube.com/channel/UCSOkmL5DnhgAD7pdXTcbbfg"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hyperlink" Target="https://twitter.com/NewScorpioGold"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KiLzK9ck+EvjPSbkSWiZB/X6QA==">CgMxLjAyCGguZ2pkZ3hzOAByITFxaHRPcFJhMzA3M0Ryc0JQRnhPV1lUcXJ5UHBxLUJOSA==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CA0D8A489AB87489F9104094B22542C" ma:contentTypeVersion="12" ma:contentTypeDescription="Create a new document." ma:contentTypeScope="" ma:versionID="8df0abf575d38bf5d76986795df04001">
  <xsd:schema xmlns:xsd="http://www.w3.org/2001/XMLSchema" xmlns:xs="http://www.w3.org/2001/XMLSchema" xmlns:p="http://schemas.microsoft.com/office/2006/metadata/properties" xmlns:ns2="05d72c66-332c-4377-8e69-baa71e313b4e" xmlns:ns3="a95a2bb4-d13a-4b26-b510-0d58d3bcb40d" targetNamespace="http://schemas.microsoft.com/office/2006/metadata/properties" ma:root="true" ma:fieldsID="7386b4a085c5c1e5c54103c4266ff078" ns2:_="" ns3:_="">
    <xsd:import namespace="05d72c66-332c-4377-8e69-baa71e313b4e"/>
    <xsd:import namespace="a95a2bb4-d13a-4b26-b510-0d58d3bcb4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72c66-332c-4377-8e69-baa71e313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bd47ee-4cd6-4e02-a351-520b9fa58b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a2bb4-d13a-4b26-b510-0d58d3bcb4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47830d-b715-4acd-9dcb-1f34fc5fa469}" ma:internalName="TaxCatchAll" ma:showField="CatchAllData" ma:web="a95a2bb4-d13a-4b26-b510-0d58d3bcb4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d72c66-332c-4377-8e69-baa71e313b4e">
      <Terms xmlns="http://schemas.microsoft.com/office/infopath/2007/PartnerControls"/>
    </lcf76f155ced4ddcb4097134ff3c332f>
    <TaxCatchAll xmlns="a95a2bb4-d13a-4b26-b510-0d58d3bcb40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0A8904-7737-4D93-85E3-B95A0B285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72c66-332c-4377-8e69-baa71e313b4e"/>
    <ds:schemaRef ds:uri="a95a2bb4-d13a-4b26-b510-0d58d3bcb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1CA092-EDE8-40FA-9A7F-FEDA74ADFDEE}">
  <ds:schemaRefs>
    <ds:schemaRef ds:uri="http://schemas.openxmlformats.org/officeDocument/2006/bibliography"/>
  </ds:schemaRefs>
</ds:datastoreItem>
</file>

<file path=customXml/itemProps4.xml><?xml version="1.0" encoding="utf-8"?>
<ds:datastoreItem xmlns:ds="http://schemas.openxmlformats.org/officeDocument/2006/customXml" ds:itemID="{389920D1-593D-42E1-AD92-660E2DECEB8D}">
  <ds:schemaRefs>
    <ds:schemaRef ds:uri="http://schemas.microsoft.com/office/2006/metadata/properties"/>
    <ds:schemaRef ds:uri="http://schemas.microsoft.com/office/infopath/2007/PartnerControls"/>
    <ds:schemaRef ds:uri="05d72c66-332c-4377-8e69-baa71e313b4e"/>
    <ds:schemaRef ds:uri="a95a2bb4-d13a-4b26-b510-0d58d3bcb40d"/>
  </ds:schemaRefs>
</ds:datastoreItem>
</file>

<file path=customXml/itemProps5.xml><?xml version="1.0" encoding="utf-8"?>
<ds:datastoreItem xmlns:ds="http://schemas.openxmlformats.org/officeDocument/2006/customXml" ds:itemID="{5DDD6EF5-4285-49C2-B2DA-68271DD671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2890</Words>
  <Characters>16478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19330</CharactersWithSpaces>
  <SharedDoc>false</SharedDoc>
  <HLinks>
    <vt:vector size="60" baseType="variant">
      <vt:variant>
        <vt:i4>6422560</vt:i4>
      </vt:variant>
      <vt:variant>
        <vt:i4>24</vt:i4>
      </vt:variant>
      <vt:variant>
        <vt:i4>0</vt:i4>
      </vt:variant>
      <vt:variant>
        <vt:i4>5</vt:i4>
      </vt:variant>
      <vt:variant>
        <vt:lpwstr>https://scorpiogold.com/contact/subscribe/</vt:lpwstr>
      </vt:variant>
      <vt:variant>
        <vt:lpwstr/>
      </vt:variant>
      <vt:variant>
        <vt:i4>4456477</vt:i4>
      </vt:variant>
      <vt:variant>
        <vt:i4>21</vt:i4>
      </vt:variant>
      <vt:variant>
        <vt:i4>0</vt:i4>
      </vt:variant>
      <vt:variant>
        <vt:i4>5</vt:i4>
      </vt:variant>
      <vt:variant>
        <vt:lpwstr>https://www.youtube.com/channel/UCSOkmL5DnhgAD7pdXTcbbfg</vt:lpwstr>
      </vt:variant>
      <vt:variant>
        <vt:lpwstr/>
      </vt:variant>
      <vt:variant>
        <vt:i4>7602239</vt:i4>
      </vt:variant>
      <vt:variant>
        <vt:i4>18</vt:i4>
      </vt:variant>
      <vt:variant>
        <vt:i4>0</vt:i4>
      </vt:variant>
      <vt:variant>
        <vt:i4>5</vt:i4>
      </vt:variant>
      <vt:variant>
        <vt:lpwstr>https://twitter.com/NewScorpioGold</vt:lpwstr>
      </vt:variant>
      <vt:variant>
        <vt:lpwstr/>
      </vt:variant>
      <vt:variant>
        <vt:i4>4653077</vt:i4>
      </vt:variant>
      <vt:variant>
        <vt:i4>15</vt:i4>
      </vt:variant>
      <vt:variant>
        <vt:i4>0</vt:i4>
      </vt:variant>
      <vt:variant>
        <vt:i4>5</vt:i4>
      </vt:variant>
      <vt:variant>
        <vt:lpwstr>https://www.linkedin.com/company/scorpio-gold-coporation/about/?viewAsMember=true</vt:lpwstr>
      </vt:variant>
      <vt:variant>
        <vt:lpwstr/>
      </vt:variant>
      <vt:variant>
        <vt:i4>3866749</vt:i4>
      </vt:variant>
      <vt:variant>
        <vt:i4>12</vt:i4>
      </vt:variant>
      <vt:variant>
        <vt:i4>0</vt:i4>
      </vt:variant>
      <vt:variant>
        <vt:i4>5</vt:i4>
      </vt:variant>
      <vt:variant>
        <vt:lpwstr>https://www.facebook.com/profile.php?id=61556975236485</vt:lpwstr>
      </vt:variant>
      <vt:variant>
        <vt:lpwstr/>
      </vt:variant>
      <vt:variant>
        <vt:i4>6422560</vt:i4>
      </vt:variant>
      <vt:variant>
        <vt:i4>9</vt:i4>
      </vt:variant>
      <vt:variant>
        <vt:i4>0</vt:i4>
      </vt:variant>
      <vt:variant>
        <vt:i4>5</vt:i4>
      </vt:variant>
      <vt:variant>
        <vt:lpwstr>https://scorpiogold.com/contact/subscribe/</vt:lpwstr>
      </vt:variant>
      <vt:variant>
        <vt:lpwstr/>
      </vt:variant>
      <vt:variant>
        <vt:i4>1245230</vt:i4>
      </vt:variant>
      <vt:variant>
        <vt:i4>6</vt:i4>
      </vt:variant>
      <vt:variant>
        <vt:i4>0</vt:i4>
      </vt:variant>
      <vt:variant>
        <vt:i4>5</vt:i4>
      </vt:variant>
      <vt:variant>
        <vt:lpwstr>mailto:zayn@scorpiogold.com</vt:lpwstr>
      </vt:variant>
      <vt:variant>
        <vt:lpwstr/>
      </vt:variant>
      <vt:variant>
        <vt:i4>3670054</vt:i4>
      </vt:variant>
      <vt:variant>
        <vt:i4>0</vt:i4>
      </vt:variant>
      <vt:variant>
        <vt:i4>0</vt:i4>
      </vt:variant>
      <vt:variant>
        <vt:i4>5</vt:i4>
      </vt:variant>
      <vt:variant>
        <vt:lpwstr>https://scorpiogold.com/news/scorpio-gold-commences-2025-drilling-at-the-manhattan-district-and-plans-initial-resource-estimate-00/</vt:lpwstr>
      </vt:variant>
      <vt:variant>
        <vt:lpwstr/>
      </vt:variant>
      <vt:variant>
        <vt:i4>2949218</vt:i4>
      </vt:variant>
      <vt:variant>
        <vt:i4>6</vt:i4>
      </vt:variant>
      <vt:variant>
        <vt:i4>0</vt:i4>
      </vt:variant>
      <vt:variant>
        <vt:i4>5</vt:i4>
      </vt:variant>
      <vt:variant>
        <vt:lpwstr>http://www.scorpiogold.com/</vt:lpwstr>
      </vt:variant>
      <vt:variant>
        <vt:lpwstr/>
      </vt:variant>
      <vt:variant>
        <vt:i4>2949218</vt:i4>
      </vt:variant>
      <vt:variant>
        <vt:i4>0</vt:i4>
      </vt:variant>
      <vt:variant>
        <vt:i4>0</vt:i4>
      </vt:variant>
      <vt:variant>
        <vt:i4>5</vt:i4>
      </vt:variant>
      <vt:variant>
        <vt:lpwstr>http://www.scorpiogold.com/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Leitao</dc:creator>
  <cp:keywords/>
  <cp:lastModifiedBy>Lindsay Nelson</cp:lastModifiedBy>
  <cp:revision>2</cp:revision>
  <dcterms:created xsi:type="dcterms:W3CDTF">2025-12-30T03:00:00Z</dcterms:created>
  <dcterms:modified xsi:type="dcterms:W3CDTF">2025-12-30T03:00:00Z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0x0101001CA0D8A489AB87489F9104094B22542C</vt:lpwstr>
  </property>
  <property fmtid="{D5CDD505-2E9C-101B-9397-08002B2CF9AE}" pid="3" name="MediaServiceImageTags">
    <vt:lpwstr/>
  </property>
  <property fmtid="{D5CDD505-2E9C-101B-9397-08002B2CF9AE}" pid="4" name="GrammarlyDocumentId">
    <vt:lpwstr>e793735f-744e-47ca-9312-00f2fa010968</vt:lpwstr>
  </property>
</Properties>
</file>