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01353E" w14:textId="1EECF0A3" w:rsidR="00FE3D23" w:rsidRPr="00255D83" w:rsidRDefault="00883ACC" w:rsidP="00255D83">
      <w:r>
        <w:rPr>
          <w:noProof/>
          <w:sz w:val="18"/>
          <w:szCs w:val="18"/>
        </w:rPr>
        <w:drawing>
          <wp:anchor distT="0" distB="0" distL="114300" distR="114300" simplePos="0" relativeHeight="251658240" behindDoc="0" locked="0" layoutInCell="1" allowOverlap="1" wp14:anchorId="5566D274" wp14:editId="292BD053">
            <wp:simplePos x="0" y="0"/>
            <wp:positionH relativeFrom="column">
              <wp:posOffset>59055</wp:posOffset>
            </wp:positionH>
            <wp:positionV relativeFrom="paragraph">
              <wp:posOffset>149811</wp:posOffset>
            </wp:positionV>
            <wp:extent cx="2777490" cy="666750"/>
            <wp:effectExtent l="0" t="0" r="3810" b="6350"/>
            <wp:wrapSquare wrapText="bothSides"/>
            <wp:docPr id="1881933476"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933476" name="Picture 1" descr="A black background with white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77490" cy="666750"/>
                    </a:xfrm>
                    <a:prstGeom prst="rect">
                      <a:avLst/>
                    </a:prstGeom>
                  </pic:spPr>
                </pic:pic>
              </a:graphicData>
            </a:graphic>
            <wp14:sizeRelH relativeFrom="page">
              <wp14:pctWidth>0</wp14:pctWidth>
            </wp14:sizeRelH>
            <wp14:sizeRelV relativeFrom="page">
              <wp14:pctHeight>0</wp14:pctHeight>
            </wp14:sizeRelV>
          </wp:anchor>
        </w:drawing>
      </w:r>
    </w:p>
    <w:p w14:paraId="3ED3B579" w14:textId="5F1E0D31" w:rsidR="00883ACC" w:rsidRPr="00FE3D23" w:rsidRDefault="00883ACC" w:rsidP="00883ACC">
      <w:pPr>
        <w:jc w:val="right"/>
        <w:rPr>
          <w:sz w:val="18"/>
          <w:szCs w:val="18"/>
        </w:rPr>
      </w:pPr>
      <w:bookmarkStart w:id="0" w:name="_heading=h.gjdgxs" w:colFirst="0" w:colLast="0"/>
      <w:bookmarkEnd w:id="0"/>
      <w:r w:rsidRPr="00FE3D23">
        <w:rPr>
          <w:sz w:val="18"/>
          <w:szCs w:val="18"/>
        </w:rPr>
        <w:t>TSXV: SGN</w:t>
      </w:r>
    </w:p>
    <w:p w14:paraId="5AE5B3CE" w14:textId="77777777" w:rsidR="00883ACC" w:rsidRDefault="00883ACC" w:rsidP="00883ACC">
      <w:pPr>
        <w:jc w:val="right"/>
        <w:rPr>
          <w:sz w:val="18"/>
          <w:szCs w:val="18"/>
        </w:rPr>
      </w:pPr>
      <w:r>
        <w:rPr>
          <w:sz w:val="18"/>
          <w:szCs w:val="18"/>
        </w:rPr>
        <w:t>#750-1095 W. Pender St.</w:t>
      </w:r>
    </w:p>
    <w:p w14:paraId="392FBF4D" w14:textId="77777777" w:rsidR="00883ACC" w:rsidRPr="00FE3D23" w:rsidRDefault="00883ACC" w:rsidP="00883ACC">
      <w:pPr>
        <w:jc w:val="right"/>
        <w:rPr>
          <w:sz w:val="18"/>
          <w:szCs w:val="18"/>
        </w:rPr>
      </w:pPr>
      <w:r>
        <w:rPr>
          <w:sz w:val="18"/>
          <w:szCs w:val="18"/>
        </w:rPr>
        <w:t>Vancouver, BC V6E2M6</w:t>
      </w:r>
    </w:p>
    <w:p w14:paraId="77CAC22A" w14:textId="77777777" w:rsidR="00883ACC" w:rsidRPr="00FE3D23" w:rsidRDefault="00883ACC" w:rsidP="00883ACC">
      <w:pPr>
        <w:jc w:val="right"/>
        <w:rPr>
          <w:sz w:val="18"/>
          <w:szCs w:val="18"/>
        </w:rPr>
      </w:pPr>
      <w:hyperlink r:id="rId10">
        <w:r w:rsidRPr="00FE3D23">
          <w:rPr>
            <w:color w:val="1155CC"/>
            <w:sz w:val="18"/>
            <w:szCs w:val="18"/>
            <w:u w:val="single"/>
          </w:rPr>
          <w:t>WWW.SCORPIOGOLD.COM</w:t>
        </w:r>
      </w:hyperlink>
    </w:p>
    <w:p w14:paraId="3887B341" w14:textId="77777777" w:rsidR="00883ACC" w:rsidRDefault="00883ACC" w:rsidP="00883ACC">
      <w:pPr>
        <w:pStyle w:val="Header"/>
      </w:pPr>
    </w:p>
    <w:p w14:paraId="7E5671C9" w14:textId="77777777" w:rsidR="00883ACC" w:rsidRDefault="00883ACC" w:rsidP="00255D83">
      <w:pPr>
        <w:jc w:val="center"/>
        <w:rPr>
          <w:b/>
          <w:bCs/>
          <w:sz w:val="28"/>
          <w:szCs w:val="28"/>
        </w:rPr>
      </w:pPr>
    </w:p>
    <w:p w14:paraId="4AF9E357" w14:textId="12733CD1" w:rsidR="00325581" w:rsidRPr="00255D83" w:rsidRDefault="004B68D2" w:rsidP="00066EC2">
      <w:pPr>
        <w:ind w:right="27"/>
        <w:jc w:val="center"/>
        <w:rPr>
          <w:b/>
          <w:bCs/>
          <w:sz w:val="28"/>
          <w:szCs w:val="28"/>
        </w:rPr>
      </w:pPr>
      <w:r>
        <w:rPr>
          <w:b/>
          <w:bCs/>
          <w:sz w:val="28"/>
          <w:szCs w:val="28"/>
        </w:rPr>
        <w:t xml:space="preserve">Scorpio </w:t>
      </w:r>
      <w:r w:rsidR="00587170">
        <w:rPr>
          <w:b/>
          <w:bCs/>
          <w:sz w:val="28"/>
          <w:szCs w:val="28"/>
        </w:rPr>
        <w:t xml:space="preserve">Gold </w:t>
      </w:r>
      <w:r w:rsidR="001360E5">
        <w:rPr>
          <w:b/>
          <w:bCs/>
          <w:sz w:val="28"/>
          <w:szCs w:val="28"/>
        </w:rPr>
        <w:t>Announces</w:t>
      </w:r>
      <w:r w:rsidR="00066EC2">
        <w:rPr>
          <w:b/>
          <w:bCs/>
          <w:sz w:val="28"/>
          <w:szCs w:val="28"/>
        </w:rPr>
        <w:t xml:space="preserve"> </w:t>
      </w:r>
      <w:r w:rsidR="007470ED">
        <w:rPr>
          <w:b/>
          <w:bCs/>
          <w:sz w:val="28"/>
          <w:szCs w:val="28"/>
        </w:rPr>
        <w:t xml:space="preserve">Option </w:t>
      </w:r>
      <w:r w:rsidR="00066EC2">
        <w:rPr>
          <w:b/>
          <w:bCs/>
          <w:sz w:val="28"/>
          <w:szCs w:val="28"/>
        </w:rPr>
        <w:t xml:space="preserve">of </w:t>
      </w:r>
      <w:r w:rsidR="007470ED">
        <w:rPr>
          <w:b/>
          <w:bCs/>
          <w:sz w:val="28"/>
          <w:szCs w:val="28"/>
        </w:rPr>
        <w:t>Betty Eas</w:t>
      </w:r>
      <w:r w:rsidR="00066EC2">
        <w:rPr>
          <w:b/>
          <w:bCs/>
          <w:sz w:val="28"/>
          <w:szCs w:val="28"/>
        </w:rPr>
        <w:t xml:space="preserve">t </w:t>
      </w:r>
      <w:r w:rsidR="007470ED">
        <w:rPr>
          <w:b/>
          <w:bCs/>
          <w:sz w:val="28"/>
          <w:szCs w:val="28"/>
        </w:rPr>
        <w:t>Property</w:t>
      </w:r>
      <w:r w:rsidR="00066EC2">
        <w:rPr>
          <w:b/>
          <w:bCs/>
          <w:sz w:val="28"/>
          <w:szCs w:val="28"/>
        </w:rPr>
        <w:t>, Extending Claim Package at Manhattan District, Nevada</w:t>
      </w:r>
    </w:p>
    <w:p w14:paraId="11802560" w14:textId="77777777" w:rsidR="00255D83" w:rsidRPr="00255D83" w:rsidRDefault="00255D83" w:rsidP="00255D83"/>
    <w:p w14:paraId="460B5F0A" w14:textId="27296C5A" w:rsidR="00903DA4" w:rsidRDefault="00066EC2" w:rsidP="009D475F">
      <w:pPr>
        <w:jc w:val="both"/>
      </w:pPr>
      <w:r>
        <w:rPr>
          <w:b/>
          <w:bCs/>
        </w:rPr>
        <w:t xml:space="preserve">January </w:t>
      </w:r>
      <w:r w:rsidR="00691974">
        <w:rPr>
          <w:b/>
          <w:bCs/>
        </w:rPr>
        <w:t>1</w:t>
      </w:r>
      <w:r w:rsidR="00002486">
        <w:rPr>
          <w:b/>
          <w:bCs/>
        </w:rPr>
        <w:t>5</w:t>
      </w:r>
      <w:r w:rsidRPr="00066EC2">
        <w:rPr>
          <w:b/>
          <w:bCs/>
          <w:vertAlign w:val="superscript"/>
        </w:rPr>
        <w:t>th</w:t>
      </w:r>
      <w:r w:rsidR="009D475F">
        <w:rPr>
          <w:b/>
          <w:bCs/>
        </w:rPr>
        <w:t>, 2025</w:t>
      </w:r>
      <w:r w:rsidR="009D475F" w:rsidRPr="15A9E5EE">
        <w:rPr>
          <w:b/>
          <w:bCs/>
        </w:rPr>
        <w:t xml:space="preserve"> - Vancouver, British Columbia – </w:t>
      </w:r>
      <w:r w:rsidR="009D475F" w:rsidRPr="15A9E5EE">
        <w:rPr>
          <w:b/>
          <w:bCs/>
          <w:highlight w:val="white"/>
        </w:rPr>
        <w:t>Scorpio Gold Corporation</w:t>
      </w:r>
      <w:r w:rsidR="009D475F" w:rsidRPr="15A9E5EE">
        <w:rPr>
          <w:highlight w:val="white"/>
        </w:rPr>
        <w:t xml:space="preserve"> </w:t>
      </w:r>
      <w:r w:rsidR="009D475F" w:rsidRPr="15A9E5EE">
        <w:rPr>
          <w:b/>
          <w:bCs/>
          <w:highlight w:val="white"/>
        </w:rPr>
        <w:t>(TSX-V: SGN, OTCQB: SRCRF, FSE: RY9)</w:t>
      </w:r>
      <w:r w:rsidR="009D475F" w:rsidRPr="15A9E5EE">
        <w:rPr>
          <w:highlight w:val="white"/>
        </w:rPr>
        <w:t xml:space="preserve"> (“</w:t>
      </w:r>
      <w:r w:rsidR="009D475F" w:rsidRPr="15A9E5EE">
        <w:rPr>
          <w:b/>
          <w:bCs/>
          <w:highlight w:val="white"/>
        </w:rPr>
        <w:t>Scorpio Gold</w:t>
      </w:r>
      <w:r w:rsidR="009D475F" w:rsidRPr="15A9E5EE">
        <w:rPr>
          <w:highlight w:val="white"/>
        </w:rPr>
        <w:t>”, or the “</w:t>
      </w:r>
      <w:r w:rsidR="009D475F" w:rsidRPr="15A9E5EE">
        <w:rPr>
          <w:b/>
          <w:bCs/>
          <w:highlight w:val="white"/>
        </w:rPr>
        <w:t>Company</w:t>
      </w:r>
      <w:r w:rsidR="009D475F" w:rsidRPr="15A9E5EE">
        <w:rPr>
          <w:highlight w:val="white"/>
        </w:rPr>
        <w:t>”)</w:t>
      </w:r>
      <w:r w:rsidR="009D475F">
        <w:t xml:space="preserve"> </w:t>
      </w:r>
      <w:r w:rsidR="009D475F" w:rsidRPr="00587170">
        <w:t>is pleased to announce that</w:t>
      </w:r>
      <w:r w:rsidR="009D475F">
        <w:t xml:space="preserve"> </w:t>
      </w:r>
      <w:r w:rsidR="001360E5">
        <w:t>it has entered into a property option agreement (the “</w:t>
      </w:r>
      <w:r w:rsidR="001360E5" w:rsidRPr="001360E5">
        <w:rPr>
          <w:b/>
          <w:bCs/>
        </w:rPr>
        <w:t>Agreement</w:t>
      </w:r>
      <w:r w:rsidR="001360E5">
        <w:t>”) with an arm’s length third party (the “</w:t>
      </w:r>
      <w:r w:rsidR="001360E5" w:rsidRPr="001360E5">
        <w:rPr>
          <w:b/>
          <w:bCs/>
        </w:rPr>
        <w:t>Optionor</w:t>
      </w:r>
      <w:r w:rsidR="001360E5">
        <w:t>”) and a wholly-owned subsidiary of the Company (the “</w:t>
      </w:r>
      <w:r w:rsidR="001360E5" w:rsidRPr="001360E5">
        <w:rPr>
          <w:b/>
          <w:bCs/>
        </w:rPr>
        <w:t>Optionee</w:t>
      </w:r>
      <w:r w:rsidR="001360E5">
        <w:t>”) to acquire a 100% interest in the thirty-two unpatented lode mining claims known as the</w:t>
      </w:r>
      <w:r w:rsidR="007470ED">
        <w:t xml:space="preserve"> Betty East Property,</w:t>
      </w:r>
      <w:r w:rsidR="001360E5">
        <w:t xml:space="preserve"> located in Nye County, Nevada (</w:t>
      </w:r>
      <w:r w:rsidR="00255E33">
        <w:t>“</w:t>
      </w:r>
      <w:r w:rsidR="00255E33">
        <w:rPr>
          <w:b/>
          <w:bCs/>
        </w:rPr>
        <w:t>Betty East</w:t>
      </w:r>
      <w:r w:rsidR="00255E33">
        <w:t>” or the</w:t>
      </w:r>
      <w:r w:rsidR="001360E5">
        <w:t xml:space="preserve"> “</w:t>
      </w:r>
      <w:r w:rsidR="001360E5" w:rsidRPr="001360E5">
        <w:rPr>
          <w:b/>
          <w:bCs/>
        </w:rPr>
        <w:t>Property</w:t>
      </w:r>
      <w:r w:rsidR="001360E5">
        <w:t xml:space="preserve">”). </w:t>
      </w:r>
    </w:p>
    <w:p w14:paraId="66B9FD04" w14:textId="77777777" w:rsidR="00903DA4" w:rsidRDefault="00903DA4" w:rsidP="009D475F">
      <w:pPr>
        <w:jc w:val="both"/>
      </w:pPr>
    </w:p>
    <w:p w14:paraId="55626237" w14:textId="616C484A" w:rsidR="00903DA4" w:rsidRPr="00B74AD9" w:rsidRDefault="00903DA4" w:rsidP="009D475F">
      <w:pPr>
        <w:jc w:val="both"/>
        <w:rPr>
          <w:b/>
          <w:bCs/>
        </w:rPr>
      </w:pPr>
      <w:r w:rsidRPr="00903DA4">
        <w:rPr>
          <w:b/>
          <w:bCs/>
        </w:rPr>
        <w:t>Details of the Property</w:t>
      </w:r>
    </w:p>
    <w:p w14:paraId="54FE67EE" w14:textId="5EA19257" w:rsidR="00473F7D" w:rsidRPr="00B74AD9" w:rsidRDefault="00473F7D" w:rsidP="00473F7D">
      <w:pPr>
        <w:pStyle w:val="p1"/>
        <w:jc w:val="both"/>
        <w:rPr>
          <w:rFonts w:ascii="Arial" w:eastAsia="Arial" w:hAnsi="Arial" w:cs="Arial"/>
          <w:sz w:val="22"/>
          <w:szCs w:val="22"/>
          <w:lang w:eastAsia="en-CA"/>
        </w:rPr>
      </w:pPr>
      <w:r w:rsidRPr="00B74AD9">
        <w:rPr>
          <w:rFonts w:ascii="Arial" w:eastAsia="Arial" w:hAnsi="Arial" w:cs="Arial"/>
          <w:sz w:val="22"/>
          <w:szCs w:val="22"/>
          <w:lang w:eastAsia="en-CA"/>
        </w:rPr>
        <w:t xml:space="preserve">Historically, the Property has seen limited exploration. Nevada Goldfields Inc. conducted shallow reverse-circulation drilling and trenching in the early 1990s, </w:t>
      </w:r>
      <w:r>
        <w:rPr>
          <w:rFonts w:ascii="Arial" w:eastAsia="Arial" w:hAnsi="Arial" w:cs="Arial"/>
          <w:sz w:val="22"/>
          <w:szCs w:val="22"/>
          <w:lang w:eastAsia="en-CA"/>
        </w:rPr>
        <w:t>which identified</w:t>
      </w:r>
      <w:r w:rsidRPr="00B74AD9">
        <w:rPr>
          <w:rFonts w:ascii="Arial" w:eastAsia="Arial" w:hAnsi="Arial" w:cs="Arial"/>
          <w:sz w:val="22"/>
          <w:szCs w:val="22"/>
          <w:lang w:eastAsia="en-CA"/>
        </w:rPr>
        <w:t xml:space="preserve"> near-surface gold mineralization at the Knolls area and outlin</w:t>
      </w:r>
      <w:r>
        <w:rPr>
          <w:rFonts w:ascii="Arial" w:eastAsia="Arial" w:hAnsi="Arial" w:cs="Arial"/>
          <w:sz w:val="22"/>
          <w:szCs w:val="22"/>
          <w:lang w:eastAsia="en-CA"/>
        </w:rPr>
        <w:t>ed</w:t>
      </w:r>
      <w:r w:rsidRPr="00B74AD9">
        <w:rPr>
          <w:rFonts w:ascii="Arial" w:eastAsia="Arial" w:hAnsi="Arial" w:cs="Arial"/>
          <w:sz w:val="22"/>
          <w:szCs w:val="22"/>
          <w:lang w:eastAsia="en-CA"/>
        </w:rPr>
        <w:t xml:space="preserve"> additional in</w:t>
      </w:r>
      <w:r>
        <w:rPr>
          <w:rFonts w:ascii="Arial" w:eastAsia="Arial" w:hAnsi="Arial" w:cs="Arial"/>
          <w:sz w:val="22"/>
          <w:szCs w:val="22"/>
          <w:lang w:eastAsia="en-CA"/>
        </w:rPr>
        <w:t xml:space="preserve">terpreted </w:t>
      </w:r>
      <w:r w:rsidRPr="00B74AD9">
        <w:rPr>
          <w:rFonts w:ascii="Arial" w:eastAsia="Arial" w:hAnsi="Arial" w:cs="Arial"/>
          <w:sz w:val="22"/>
          <w:szCs w:val="22"/>
          <w:lang w:eastAsia="en-CA"/>
        </w:rPr>
        <w:t>near-surface and deeper conceptual targets. Available historic data includes drill logs and results from fifteen shallow RC holes, trench mapping, detailed geological sections, and a historical geological report, which together suggest potential for both shallow oxide mineralization and a larger, structurally controlled mineralized system at depth.</w:t>
      </w:r>
    </w:p>
    <w:p w14:paraId="3EE5F1EC" w14:textId="699A993B" w:rsidR="00473F7D" w:rsidRDefault="00473F7D" w:rsidP="00473F7D">
      <w:pPr>
        <w:shd w:val="clear" w:color="auto" w:fill="FFFFFF"/>
        <w:spacing w:before="100" w:beforeAutospacing="1" w:after="100" w:afterAutospacing="1" w:line="240" w:lineRule="auto"/>
        <w:jc w:val="both"/>
      </w:pPr>
      <w:r w:rsidRPr="009C37BE">
        <w:t xml:space="preserve">More recent </w:t>
      </w:r>
      <w:r>
        <w:t xml:space="preserve">historic </w:t>
      </w:r>
      <w:r w:rsidRPr="009C37BE">
        <w:t xml:space="preserve">work on the </w:t>
      </w:r>
      <w:r>
        <w:t>at the Knolls, by Sierra Grande Minerals Inc.,</w:t>
      </w:r>
      <w:r w:rsidR="00D63E92">
        <w:rPr>
          <w:rStyle w:val="FootnoteReference"/>
        </w:rPr>
        <w:footnoteReference w:id="1"/>
      </w:r>
      <w:r w:rsidRPr="009C37BE">
        <w:t xml:space="preserve"> has been limited to </w:t>
      </w:r>
      <w:r w:rsidRPr="00AC1B8F">
        <w:t xml:space="preserve">a sample </w:t>
      </w:r>
      <w:r w:rsidRPr="009C37BE">
        <w:t xml:space="preserve">soil geochemical </w:t>
      </w:r>
      <w:r w:rsidRPr="00AC1B8F">
        <w:t xml:space="preserve">survey of </w:t>
      </w:r>
      <w:r>
        <w:t xml:space="preserve">approximately </w:t>
      </w:r>
      <w:r w:rsidRPr="00AC1B8F">
        <w:t>2</w:t>
      </w:r>
      <w:r>
        <w:t>90</w:t>
      </w:r>
      <w:r w:rsidRPr="00AC1B8F">
        <w:t xml:space="preserve"> samples.</w:t>
      </w:r>
      <w:r>
        <w:t xml:space="preserve"> Initially,140 samples were taken in the south-central part of the claim block on a</w:t>
      </w:r>
      <w:r w:rsidRPr="00AC1B8F">
        <w:t xml:space="preserve"> 650 m </w:t>
      </w:r>
      <w:r>
        <w:t>(</w:t>
      </w:r>
      <w:r w:rsidRPr="00AC1B8F">
        <w:t>north</w:t>
      </w:r>
      <w:r>
        <w:t>-</w:t>
      </w:r>
      <w:r w:rsidRPr="00AC1B8F">
        <w:t>south</w:t>
      </w:r>
      <w:r>
        <w:t>)</w:t>
      </w:r>
      <w:r w:rsidRPr="009C37BE">
        <w:t xml:space="preserve"> and </w:t>
      </w:r>
      <w:r w:rsidRPr="00AC1B8F">
        <w:t xml:space="preserve">325 m </w:t>
      </w:r>
      <w:r>
        <w:t>(</w:t>
      </w:r>
      <w:r w:rsidRPr="00AC1B8F">
        <w:t>east</w:t>
      </w:r>
      <w:r>
        <w:t>-</w:t>
      </w:r>
      <w:r w:rsidRPr="00AC1B8F">
        <w:t>west</w:t>
      </w:r>
      <w:r>
        <w:t>)</w:t>
      </w:r>
      <w:r w:rsidRPr="00AC1B8F">
        <w:t xml:space="preserve"> grid of 50 m east-west spaced lines with samples taken between 25 </w:t>
      </w:r>
      <w:r>
        <w:t xml:space="preserve">m </w:t>
      </w:r>
      <w:r w:rsidRPr="00AC1B8F">
        <w:t>and 50</w:t>
      </w:r>
      <w:r>
        <w:t xml:space="preserve"> </w:t>
      </w:r>
      <w:r w:rsidRPr="00AC1B8F">
        <w:t xml:space="preserve">m along </w:t>
      </w:r>
      <w:r>
        <w:t xml:space="preserve">the </w:t>
      </w:r>
      <w:r w:rsidRPr="00AC1B8F">
        <w:t>lines.</w:t>
      </w:r>
      <w:r>
        <w:t xml:space="preserve"> </w:t>
      </w:r>
      <w:r w:rsidRPr="00BE0FD5">
        <w:t>The results demonstrate a pronounced, north-south epithermal Au-As-(Ag-Hg) signature</w:t>
      </w:r>
      <w:r w:rsidRPr="009C37BE">
        <w:t xml:space="preserve"> with locally very high </w:t>
      </w:r>
      <w:r>
        <w:t xml:space="preserve">Au </w:t>
      </w:r>
      <w:r w:rsidRPr="009C37BE">
        <w:t xml:space="preserve">soil </w:t>
      </w:r>
      <w:r w:rsidRPr="00BE0FD5">
        <w:t>results, including 6</w:t>
      </w:r>
      <w:r>
        <w:t>.</w:t>
      </w:r>
      <w:r w:rsidRPr="00BE0FD5">
        <w:t>27, 5</w:t>
      </w:r>
      <w:r>
        <w:t>.</w:t>
      </w:r>
      <w:r w:rsidRPr="00BE0FD5">
        <w:t>06,</w:t>
      </w:r>
      <w:r>
        <w:t xml:space="preserve"> </w:t>
      </w:r>
      <w:r w:rsidRPr="00BE0FD5">
        <w:t>1</w:t>
      </w:r>
      <w:r>
        <w:t>.</w:t>
      </w:r>
      <w:r w:rsidRPr="00BE0FD5">
        <w:t>1</w:t>
      </w:r>
      <w:r>
        <w:t>9</w:t>
      </w:r>
      <w:r w:rsidRPr="00BE0FD5">
        <w:t xml:space="preserve"> and </w:t>
      </w:r>
      <w:r>
        <w:t>0.</w:t>
      </w:r>
      <w:r w:rsidRPr="00BE0FD5">
        <w:t xml:space="preserve">69 </w:t>
      </w:r>
      <w:r>
        <w:t>g/t</w:t>
      </w:r>
      <w:r w:rsidRPr="00BE0FD5">
        <w:t xml:space="preserve"> </w:t>
      </w:r>
      <w:r>
        <w:t>Au. This lies within</w:t>
      </w:r>
      <w:r w:rsidRPr="00BE0FD5">
        <w:t xml:space="preserve"> an envelope of anomalous </w:t>
      </w:r>
      <w:r>
        <w:t>Au</w:t>
      </w:r>
      <w:r w:rsidRPr="00BE0FD5">
        <w:t xml:space="preserve"> and </w:t>
      </w:r>
      <w:r>
        <w:t>As and</w:t>
      </w:r>
      <w:r w:rsidRPr="00BE0FD5">
        <w:t xml:space="preserve"> extend</w:t>
      </w:r>
      <w:r>
        <w:t>s</w:t>
      </w:r>
      <w:r w:rsidRPr="00BE0FD5">
        <w:t xml:space="preserve"> to a background of &lt;20 ppb gold. </w:t>
      </w:r>
    </w:p>
    <w:p w14:paraId="167ECA1F" w14:textId="12AF9E42" w:rsidR="00473F7D" w:rsidRPr="009C37BE" w:rsidRDefault="00473F7D" w:rsidP="00473F7D">
      <w:pPr>
        <w:shd w:val="clear" w:color="auto" w:fill="FFFFFF"/>
        <w:spacing w:before="100" w:beforeAutospacing="1" w:after="100" w:afterAutospacing="1" w:line="240" w:lineRule="auto"/>
        <w:jc w:val="both"/>
      </w:pPr>
      <w:r>
        <w:t xml:space="preserve">Following this, the same company completed a </w:t>
      </w:r>
      <w:r w:rsidRPr="009C37BE">
        <w:t>northeast-</w:t>
      </w:r>
      <w:r w:rsidRPr="00AC1B8F">
        <w:t>southwest elongate</w:t>
      </w:r>
      <w:r>
        <w:t xml:space="preserve"> grid of 150 samples</w:t>
      </w:r>
      <w:r w:rsidRPr="00AC1B8F">
        <w:t xml:space="preserve"> taken on a nominal 100</w:t>
      </w:r>
      <w:r>
        <w:t xml:space="preserve"> </w:t>
      </w:r>
      <w:r w:rsidRPr="00AC1B8F">
        <w:t>m spac</w:t>
      </w:r>
      <w:r>
        <w:t xml:space="preserve">ing, covering </w:t>
      </w:r>
      <w:r w:rsidRPr="00AC1B8F">
        <w:t>1,300 m by 800 m</w:t>
      </w:r>
      <w:r>
        <w:t xml:space="preserve">. Sampled immediately to the northeast of The Knolls, this grid </w:t>
      </w:r>
      <w:r w:rsidRPr="00BE0FD5">
        <w:t>outlined a broad, east-northeast trending zone that is highly anomalous in As</w:t>
      </w:r>
      <w:r>
        <w:t xml:space="preserve">, </w:t>
      </w:r>
      <w:r w:rsidRPr="00BE0FD5">
        <w:t>Hg</w:t>
      </w:r>
      <w:r>
        <w:t xml:space="preserve">, </w:t>
      </w:r>
      <w:r w:rsidRPr="00BE0FD5">
        <w:t>Ag</w:t>
      </w:r>
      <w:r>
        <w:t xml:space="preserve">, </w:t>
      </w:r>
      <w:r w:rsidRPr="00BE0FD5">
        <w:t>Sb</w:t>
      </w:r>
      <w:r>
        <w:t xml:space="preserve"> and </w:t>
      </w:r>
      <w:r w:rsidRPr="00BE0FD5">
        <w:t>Mo, along</w:t>
      </w:r>
      <w:r w:rsidRPr="009C37BE">
        <w:t xml:space="preserve"> with </w:t>
      </w:r>
      <w:r w:rsidRPr="00BE0FD5">
        <w:t xml:space="preserve">locally elevated </w:t>
      </w:r>
      <w:r>
        <w:t>Au</w:t>
      </w:r>
      <w:r w:rsidRPr="00BE0FD5">
        <w:t xml:space="preserve"> and consistently elevated Zn</w:t>
      </w:r>
      <w:r>
        <w:t xml:space="preserve">, </w:t>
      </w:r>
      <w:r w:rsidRPr="00BE0FD5">
        <w:t>Cu</w:t>
      </w:r>
      <w:r>
        <w:t xml:space="preserve"> and </w:t>
      </w:r>
      <w:r w:rsidRPr="00BE0FD5">
        <w:t xml:space="preserve">W. The </w:t>
      </w:r>
      <w:r>
        <w:t>new, east-</w:t>
      </w:r>
      <w:r w:rsidRPr="00BE0FD5">
        <w:t>northeast trend is &gt;1.5</w:t>
      </w:r>
      <w:r>
        <w:t xml:space="preserve"> </w:t>
      </w:r>
      <w:r w:rsidRPr="00BE0FD5">
        <w:t>km long</w:t>
      </w:r>
      <w:r>
        <w:t xml:space="preserve">, </w:t>
      </w:r>
      <w:r w:rsidRPr="00BE0FD5">
        <w:t>up to 1</w:t>
      </w:r>
      <w:r>
        <w:t xml:space="preserve"> </w:t>
      </w:r>
      <w:r w:rsidRPr="00BE0FD5">
        <w:t>km wide</w:t>
      </w:r>
      <w:r>
        <w:t>, and</w:t>
      </w:r>
      <w:r w:rsidRPr="00BE0FD5">
        <w:t xml:space="preserve"> displays elements of </w:t>
      </w:r>
      <w:r w:rsidRPr="009C37BE">
        <w:t xml:space="preserve">both epithermal and </w:t>
      </w:r>
      <w:r w:rsidRPr="00BE0FD5">
        <w:t>intrusive</w:t>
      </w:r>
      <w:r w:rsidRPr="009C37BE">
        <w:t xml:space="preserve">-related </w:t>
      </w:r>
      <w:r w:rsidRPr="00BE0FD5">
        <w:t>signature</w:t>
      </w:r>
      <w:r>
        <w:t xml:space="preserve">s. </w:t>
      </w:r>
      <w:r w:rsidRPr="00BE0FD5">
        <w:t xml:space="preserve">All </w:t>
      </w:r>
      <w:r>
        <w:t xml:space="preserve">historic </w:t>
      </w:r>
      <w:r w:rsidRPr="00BE0FD5">
        <w:t>soil samples were analysed for gold by fire assay and multi-element ICP at ALS’s laboratory in Reno</w:t>
      </w:r>
      <w:r w:rsidRPr="009C37BE">
        <w:t>.</w:t>
      </w:r>
    </w:p>
    <w:p w14:paraId="191CC382" w14:textId="7656FF79" w:rsidR="00473F7D" w:rsidRDefault="00473F7D" w:rsidP="00473F7D">
      <w:pPr>
        <w:pStyle w:val="p1"/>
        <w:jc w:val="both"/>
        <w:rPr>
          <w:rFonts w:ascii="Arial" w:eastAsia="Arial" w:hAnsi="Arial" w:cs="Arial"/>
          <w:sz w:val="22"/>
          <w:szCs w:val="22"/>
          <w:lang w:eastAsia="en-CA"/>
        </w:rPr>
      </w:pPr>
      <w:r w:rsidRPr="00B74AD9">
        <w:rPr>
          <w:rFonts w:ascii="Arial" w:eastAsia="Arial" w:hAnsi="Arial" w:cs="Arial"/>
          <w:sz w:val="22"/>
          <w:szCs w:val="22"/>
          <w:lang w:eastAsia="en-CA"/>
        </w:rPr>
        <w:t>The Property is interpreted to be geologically contiguous with the southern portion of the Manhattan District, with mineralization occurring within favourable lower-plate sedimentary units associated with regional structural controls. Scorpio Gold has also staked additional claims between the Property and its existing Manhattan District land position, consolidating continuous claim coverage and enhancing the Company’s ability to systematically explore and test mineralized trends across the broader district.</w:t>
      </w:r>
    </w:p>
    <w:p w14:paraId="7CCA956A" w14:textId="65E6C6F2" w:rsidR="00B74AD9" w:rsidRPr="00B74AD9" w:rsidRDefault="00B74AD9" w:rsidP="00B74AD9">
      <w:pPr>
        <w:jc w:val="both"/>
      </w:pPr>
      <w:r w:rsidRPr="006116CC">
        <w:t>“</w:t>
      </w:r>
      <w:r w:rsidRPr="00B74AD9">
        <w:rPr>
          <w:b/>
          <w:bCs/>
          <w:i/>
          <w:iCs/>
        </w:rPr>
        <w:t xml:space="preserve">The Betty East option meaningfully expands our footprint at the southern end of the Manhattan District and gives us control of a highly prospective and underexplored part of the camp,” said Zayn Kalyan, CEO of Scorpio Gold. “Importantly, we have staked the intervening claims that connect Betty East to our existing claim block, creating continuous land tenure across a favourable geological corridor. This consolidation allows us to evaluate mineralized trends in a district-scale context, integrate historical </w:t>
      </w:r>
      <w:r w:rsidRPr="00B74AD9">
        <w:rPr>
          <w:b/>
          <w:bCs/>
          <w:i/>
          <w:iCs/>
        </w:rPr>
        <w:lastRenderedPageBreak/>
        <w:t>work with modern exploration methods, and prioritize targets that may complement and extend the broader Manhattan mineral system. We see Betty East as a strategic addition that strengthens our long-term exploration optionality in one of Nevada’s most productive gold belts.”</w:t>
      </w:r>
    </w:p>
    <w:p w14:paraId="3890C5D5" w14:textId="77777777" w:rsidR="000630AF" w:rsidRDefault="000630AF" w:rsidP="009D475F">
      <w:pPr>
        <w:jc w:val="both"/>
      </w:pPr>
    </w:p>
    <w:p w14:paraId="051C28F5" w14:textId="224E7E64" w:rsidR="000630AF" w:rsidRDefault="000630AF" w:rsidP="009D475F">
      <w:pPr>
        <w:jc w:val="both"/>
      </w:pPr>
      <w:r>
        <w:rPr>
          <w:noProof/>
        </w:rPr>
        <w:drawing>
          <wp:inline distT="0" distB="0" distL="0" distR="0" wp14:anchorId="6BF886FA" wp14:editId="541749C8">
            <wp:extent cx="6858000" cy="6858000"/>
            <wp:effectExtent l="0" t="0" r="0" b="0"/>
            <wp:docPr id="1144313676" name="Picture 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13676" name="Picture 2" descr="A map of a city&#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6858000"/>
                    </a:xfrm>
                    <a:prstGeom prst="rect">
                      <a:avLst/>
                    </a:prstGeom>
                  </pic:spPr>
                </pic:pic>
              </a:graphicData>
            </a:graphic>
          </wp:inline>
        </w:drawing>
      </w:r>
    </w:p>
    <w:p w14:paraId="19DDD056" w14:textId="6349F5CD" w:rsidR="004B1C2E" w:rsidRPr="004B1C2E" w:rsidRDefault="004B1C2E" w:rsidP="009D475F">
      <w:pPr>
        <w:jc w:val="both"/>
      </w:pPr>
      <w:r>
        <w:rPr>
          <w:b/>
          <w:bCs/>
        </w:rPr>
        <w:t xml:space="preserve">Figure 1: </w:t>
      </w:r>
      <w:r>
        <w:t xml:space="preserve">Map of Scorpio Gold </w:t>
      </w:r>
      <w:r w:rsidR="00255E33">
        <w:t>c</w:t>
      </w:r>
      <w:r>
        <w:t>laims including Betty East.</w:t>
      </w:r>
    </w:p>
    <w:p w14:paraId="61DEADDF" w14:textId="77777777" w:rsidR="004B1C2E" w:rsidRDefault="004B1C2E" w:rsidP="009D475F">
      <w:pPr>
        <w:jc w:val="both"/>
        <w:rPr>
          <w:b/>
          <w:bCs/>
        </w:rPr>
      </w:pPr>
    </w:p>
    <w:p w14:paraId="1FBEDD2C" w14:textId="3D1175BD" w:rsidR="009D475F" w:rsidRPr="00903DA4" w:rsidRDefault="00903DA4" w:rsidP="009D475F">
      <w:pPr>
        <w:jc w:val="both"/>
        <w:rPr>
          <w:b/>
          <w:bCs/>
        </w:rPr>
      </w:pPr>
      <w:r w:rsidRPr="00903DA4">
        <w:rPr>
          <w:b/>
          <w:bCs/>
        </w:rPr>
        <w:t>Terms of the Agreement</w:t>
      </w:r>
    </w:p>
    <w:p w14:paraId="29531565" w14:textId="77777777" w:rsidR="00903DA4" w:rsidRDefault="00903DA4" w:rsidP="009D475F">
      <w:pPr>
        <w:jc w:val="both"/>
      </w:pPr>
    </w:p>
    <w:p w14:paraId="37A2C08B" w14:textId="5C0A7DBE" w:rsidR="0034255D" w:rsidRDefault="0034255D" w:rsidP="0034255D">
      <w:pPr>
        <w:jc w:val="both"/>
        <w:rPr>
          <w:highlight w:val="white"/>
        </w:rPr>
      </w:pPr>
      <w:r w:rsidRPr="0034255D">
        <w:rPr>
          <w:highlight w:val="white"/>
        </w:rPr>
        <w:t>The Company,</w:t>
      </w:r>
      <w:r>
        <w:rPr>
          <w:highlight w:val="white"/>
        </w:rPr>
        <w:t xml:space="preserve"> through the Optionee,</w:t>
      </w:r>
      <w:r w:rsidRPr="0034255D">
        <w:rPr>
          <w:highlight w:val="white"/>
        </w:rPr>
        <w:t xml:space="preserve"> has </w:t>
      </w:r>
      <w:r w:rsidR="007470ED">
        <w:rPr>
          <w:highlight w:val="white"/>
        </w:rPr>
        <w:t>been granted the</w:t>
      </w:r>
      <w:r w:rsidR="007470ED" w:rsidRPr="0034255D">
        <w:rPr>
          <w:highlight w:val="white"/>
        </w:rPr>
        <w:t xml:space="preserve"> </w:t>
      </w:r>
      <w:r w:rsidRPr="0034255D">
        <w:rPr>
          <w:highlight w:val="white"/>
        </w:rPr>
        <w:t>option to acquire 100% of the Property from the Optionor</w:t>
      </w:r>
      <w:r w:rsidR="00D71455">
        <w:rPr>
          <w:highlight w:val="white"/>
        </w:rPr>
        <w:t xml:space="preserve"> (the “</w:t>
      </w:r>
      <w:r w:rsidR="00D71455" w:rsidRPr="00D71455">
        <w:rPr>
          <w:b/>
          <w:bCs/>
          <w:highlight w:val="white"/>
        </w:rPr>
        <w:t>Option</w:t>
      </w:r>
      <w:r w:rsidR="00D71455">
        <w:rPr>
          <w:highlight w:val="white"/>
        </w:rPr>
        <w:t>”)</w:t>
      </w:r>
      <w:r>
        <w:rPr>
          <w:highlight w:val="white"/>
        </w:rPr>
        <w:t xml:space="preserve"> </w:t>
      </w:r>
      <w:r w:rsidRPr="0034255D">
        <w:rPr>
          <w:highlight w:val="white"/>
        </w:rPr>
        <w:t xml:space="preserve">by making staged cash and share payments totalling </w:t>
      </w:r>
      <w:r w:rsidR="00066EC2">
        <w:rPr>
          <w:bCs/>
          <w:highlight w:val="white"/>
          <w:lang w:val="en-US"/>
        </w:rPr>
        <w:t>USD$</w:t>
      </w:r>
      <w:r>
        <w:rPr>
          <w:highlight w:val="white"/>
        </w:rPr>
        <w:t>900,000</w:t>
      </w:r>
      <w:r w:rsidRPr="0034255D">
        <w:rPr>
          <w:highlight w:val="white"/>
        </w:rPr>
        <w:t xml:space="preserve"> and </w:t>
      </w:r>
      <w:r>
        <w:rPr>
          <w:highlight w:val="white"/>
        </w:rPr>
        <w:t>950,000 common shares in the capital of the Company (the</w:t>
      </w:r>
      <w:r w:rsidRPr="0034255D">
        <w:rPr>
          <w:highlight w:val="white"/>
        </w:rPr>
        <w:t xml:space="preserve"> </w:t>
      </w:r>
      <w:r>
        <w:rPr>
          <w:highlight w:val="white"/>
        </w:rPr>
        <w:t>“</w:t>
      </w:r>
      <w:r w:rsidRPr="0034255D">
        <w:rPr>
          <w:b/>
          <w:bCs/>
          <w:highlight w:val="white"/>
        </w:rPr>
        <w:t>Shares</w:t>
      </w:r>
      <w:r>
        <w:rPr>
          <w:highlight w:val="white"/>
        </w:rPr>
        <w:t>”)</w:t>
      </w:r>
      <w:r w:rsidRPr="0034255D">
        <w:rPr>
          <w:highlight w:val="white"/>
        </w:rPr>
        <w:t xml:space="preserve"> </w:t>
      </w:r>
      <w:r w:rsidR="007470ED">
        <w:rPr>
          <w:highlight w:val="white"/>
        </w:rPr>
        <w:t xml:space="preserve">and incurring an aggregate of </w:t>
      </w:r>
      <w:r w:rsidR="00066EC2">
        <w:rPr>
          <w:bCs/>
          <w:highlight w:val="white"/>
          <w:lang w:val="en-US"/>
        </w:rPr>
        <w:t>USD$</w:t>
      </w:r>
      <w:r w:rsidR="007470ED" w:rsidRPr="0034255D">
        <w:rPr>
          <w:highlight w:val="white"/>
          <w:lang w:val="en-US"/>
        </w:rPr>
        <w:t>1,</w:t>
      </w:r>
      <w:r w:rsidR="007470ED">
        <w:rPr>
          <w:highlight w:val="white"/>
          <w:lang w:val="en-US"/>
        </w:rPr>
        <w:t>00</w:t>
      </w:r>
      <w:r w:rsidR="007470ED" w:rsidRPr="0034255D">
        <w:rPr>
          <w:highlight w:val="white"/>
          <w:lang w:val="en-US"/>
        </w:rPr>
        <w:t xml:space="preserve">0,000 in exploration expenditures on the </w:t>
      </w:r>
      <w:r w:rsidR="007470ED">
        <w:rPr>
          <w:highlight w:val="white"/>
          <w:lang w:val="en-US"/>
        </w:rPr>
        <w:t>P</w:t>
      </w:r>
      <w:r w:rsidR="007470ED" w:rsidRPr="0034255D">
        <w:rPr>
          <w:highlight w:val="white"/>
          <w:lang w:val="en-US"/>
        </w:rPr>
        <w:t xml:space="preserve">roperty </w:t>
      </w:r>
      <w:r w:rsidRPr="0034255D">
        <w:rPr>
          <w:highlight w:val="white"/>
        </w:rPr>
        <w:t xml:space="preserve">over </w:t>
      </w:r>
      <w:r w:rsidR="00481F6A">
        <w:rPr>
          <w:highlight w:val="white"/>
        </w:rPr>
        <w:t>five</w:t>
      </w:r>
      <w:r w:rsidRPr="0034255D">
        <w:rPr>
          <w:highlight w:val="white"/>
        </w:rPr>
        <w:t xml:space="preserve"> years, as follows: </w:t>
      </w:r>
    </w:p>
    <w:p w14:paraId="7D768860" w14:textId="77777777" w:rsidR="00481F6A" w:rsidRPr="0034255D" w:rsidRDefault="00481F6A" w:rsidP="0034255D">
      <w:pPr>
        <w:jc w:val="both"/>
        <w:rPr>
          <w:highlight w:val="white"/>
          <w:lang w:val="en-US"/>
        </w:rPr>
      </w:pPr>
    </w:p>
    <w:p w14:paraId="597C3AAF" w14:textId="77777777" w:rsidR="00255E33" w:rsidRDefault="00066EC2" w:rsidP="00255E33">
      <w:pPr>
        <w:numPr>
          <w:ilvl w:val="0"/>
          <w:numId w:val="7"/>
        </w:numPr>
        <w:jc w:val="both"/>
        <w:rPr>
          <w:bCs/>
          <w:highlight w:val="white"/>
          <w:lang w:val="en-US"/>
        </w:rPr>
      </w:pPr>
      <w:r>
        <w:rPr>
          <w:bCs/>
          <w:highlight w:val="white"/>
          <w:lang w:val="en-US"/>
        </w:rPr>
        <w:t>USD</w:t>
      </w:r>
      <w:r w:rsidR="0034255D" w:rsidRPr="0034255D">
        <w:rPr>
          <w:bCs/>
          <w:highlight w:val="white"/>
          <w:lang w:val="en-US"/>
        </w:rPr>
        <w:t>$</w:t>
      </w:r>
      <w:r w:rsidR="00481F6A">
        <w:rPr>
          <w:bCs/>
          <w:highlight w:val="white"/>
          <w:lang w:val="en-US"/>
        </w:rPr>
        <w:t>30</w:t>
      </w:r>
      <w:r w:rsidR="0034255D" w:rsidRPr="0034255D">
        <w:rPr>
          <w:bCs/>
          <w:highlight w:val="white"/>
          <w:lang w:val="en-US"/>
        </w:rPr>
        <w:t>,000</w:t>
      </w:r>
      <w:r w:rsidR="00481F6A">
        <w:rPr>
          <w:bCs/>
          <w:highlight w:val="white"/>
          <w:lang w:val="en-US"/>
        </w:rPr>
        <w:t xml:space="preserve"> and 100,000 Shares</w:t>
      </w:r>
      <w:r w:rsidR="004224D7">
        <w:rPr>
          <w:bCs/>
          <w:highlight w:val="white"/>
          <w:lang w:val="en-US"/>
        </w:rPr>
        <w:t xml:space="preserve"> within five days following </w:t>
      </w:r>
      <w:r w:rsidR="00481F6A">
        <w:rPr>
          <w:bCs/>
          <w:highlight w:val="white"/>
          <w:lang w:val="en-US"/>
        </w:rPr>
        <w:t>the later of the effective date of the Agreement (the “</w:t>
      </w:r>
      <w:r w:rsidR="00481F6A" w:rsidRPr="00481F6A">
        <w:rPr>
          <w:b/>
          <w:highlight w:val="white"/>
          <w:lang w:val="en-US"/>
        </w:rPr>
        <w:t>Effective Date</w:t>
      </w:r>
      <w:r w:rsidR="00481F6A">
        <w:rPr>
          <w:bCs/>
          <w:highlight w:val="white"/>
          <w:lang w:val="en-US"/>
        </w:rPr>
        <w:t>”) and the date on which the Company receives</w:t>
      </w:r>
      <w:r w:rsidR="0034255D" w:rsidRPr="0034255D">
        <w:rPr>
          <w:bCs/>
          <w:highlight w:val="white"/>
          <w:lang w:val="en-US"/>
        </w:rPr>
        <w:t xml:space="preserve"> TSX Venture Exchange (“</w:t>
      </w:r>
      <w:r w:rsidR="0034255D" w:rsidRPr="0034255D">
        <w:rPr>
          <w:b/>
          <w:bCs/>
          <w:highlight w:val="white"/>
          <w:lang w:val="en-US"/>
        </w:rPr>
        <w:t>TSXV</w:t>
      </w:r>
      <w:r w:rsidR="0034255D" w:rsidRPr="0034255D">
        <w:rPr>
          <w:highlight w:val="white"/>
          <w:lang w:val="en-US"/>
        </w:rPr>
        <w:t>”)</w:t>
      </w:r>
      <w:r w:rsidR="0034255D" w:rsidRPr="0034255D">
        <w:rPr>
          <w:bCs/>
          <w:highlight w:val="white"/>
          <w:lang w:val="en-US"/>
        </w:rPr>
        <w:t xml:space="preserve"> approval of the </w:t>
      </w:r>
      <w:proofErr w:type="gramStart"/>
      <w:r w:rsidR="0034255D" w:rsidRPr="0034255D">
        <w:rPr>
          <w:bCs/>
          <w:highlight w:val="white"/>
          <w:lang w:val="en-US"/>
        </w:rPr>
        <w:t>Agreement;</w:t>
      </w:r>
      <w:proofErr w:type="gramEnd"/>
    </w:p>
    <w:p w14:paraId="08B918B3" w14:textId="65A080DB" w:rsidR="0034255D" w:rsidRPr="00255E33" w:rsidRDefault="00066EC2" w:rsidP="00255E33">
      <w:pPr>
        <w:numPr>
          <w:ilvl w:val="0"/>
          <w:numId w:val="7"/>
        </w:numPr>
        <w:jc w:val="both"/>
        <w:rPr>
          <w:bCs/>
          <w:highlight w:val="white"/>
          <w:lang w:val="en-US"/>
        </w:rPr>
      </w:pPr>
      <w:r w:rsidRPr="00255E33">
        <w:rPr>
          <w:bCs/>
          <w:highlight w:val="white"/>
          <w:lang w:val="en-US"/>
        </w:rPr>
        <w:t>USD$</w:t>
      </w:r>
      <w:r w:rsidR="0034255D" w:rsidRPr="00255E33">
        <w:rPr>
          <w:bCs/>
          <w:highlight w:val="white"/>
          <w:lang w:val="en-US"/>
        </w:rPr>
        <w:t>3</w:t>
      </w:r>
      <w:r w:rsidR="00481F6A" w:rsidRPr="00255E33">
        <w:rPr>
          <w:bCs/>
          <w:highlight w:val="white"/>
          <w:lang w:val="en-US"/>
        </w:rPr>
        <w:t>0</w:t>
      </w:r>
      <w:r w:rsidR="0034255D" w:rsidRPr="00255E33">
        <w:rPr>
          <w:bCs/>
          <w:highlight w:val="white"/>
          <w:lang w:val="en-US"/>
        </w:rPr>
        <w:t xml:space="preserve">,000 and </w:t>
      </w:r>
      <w:r w:rsidR="00481F6A" w:rsidRPr="00255E33">
        <w:rPr>
          <w:bCs/>
          <w:highlight w:val="white"/>
          <w:lang w:val="en-US"/>
        </w:rPr>
        <w:t>100</w:t>
      </w:r>
      <w:r w:rsidR="0034255D" w:rsidRPr="00255E33">
        <w:rPr>
          <w:bCs/>
          <w:highlight w:val="white"/>
          <w:lang w:val="en-US"/>
        </w:rPr>
        <w:t xml:space="preserve">,000 </w:t>
      </w:r>
      <w:r w:rsidR="007470ED" w:rsidRPr="00255E33">
        <w:rPr>
          <w:bCs/>
          <w:highlight w:val="white"/>
          <w:lang w:val="en-US"/>
        </w:rPr>
        <w:t>S</w:t>
      </w:r>
      <w:r w:rsidR="0034255D" w:rsidRPr="00255E33">
        <w:rPr>
          <w:bCs/>
          <w:highlight w:val="white"/>
          <w:lang w:val="en-US"/>
        </w:rPr>
        <w:t>hares on or before the 1</w:t>
      </w:r>
      <w:r w:rsidR="0034255D" w:rsidRPr="00255E33">
        <w:rPr>
          <w:bCs/>
          <w:highlight w:val="white"/>
          <w:vertAlign w:val="superscript"/>
          <w:lang w:val="en-US"/>
        </w:rPr>
        <w:t>st</w:t>
      </w:r>
      <w:r w:rsidR="0034255D" w:rsidRPr="00255E33">
        <w:rPr>
          <w:bCs/>
          <w:highlight w:val="white"/>
          <w:lang w:val="en-US"/>
        </w:rPr>
        <w:t xml:space="preserve"> anniversary</w:t>
      </w:r>
      <w:r w:rsidR="00481F6A" w:rsidRPr="00255E33">
        <w:rPr>
          <w:bCs/>
          <w:highlight w:val="white"/>
          <w:lang w:val="en-US"/>
        </w:rPr>
        <w:t xml:space="preserve"> of the Effective </w:t>
      </w:r>
      <w:proofErr w:type="gramStart"/>
      <w:r w:rsidR="00481F6A" w:rsidRPr="00255E33">
        <w:rPr>
          <w:bCs/>
          <w:highlight w:val="white"/>
          <w:lang w:val="en-US"/>
        </w:rPr>
        <w:t>Date</w:t>
      </w:r>
      <w:r w:rsidR="0034255D" w:rsidRPr="00255E33">
        <w:rPr>
          <w:bCs/>
          <w:highlight w:val="white"/>
          <w:lang w:val="en-US"/>
        </w:rPr>
        <w:t>;</w:t>
      </w:r>
      <w:proofErr w:type="gramEnd"/>
    </w:p>
    <w:p w14:paraId="04C846FC" w14:textId="77777777" w:rsidR="007470ED" w:rsidRDefault="007470ED" w:rsidP="00692031">
      <w:pPr>
        <w:ind w:left="720"/>
        <w:jc w:val="both"/>
        <w:rPr>
          <w:bCs/>
          <w:highlight w:val="white"/>
          <w:lang w:val="en-US"/>
        </w:rPr>
      </w:pPr>
    </w:p>
    <w:p w14:paraId="3FF53F1A" w14:textId="7BD25D46" w:rsidR="0034255D" w:rsidRPr="0034255D" w:rsidRDefault="00066EC2" w:rsidP="0034255D">
      <w:pPr>
        <w:numPr>
          <w:ilvl w:val="0"/>
          <w:numId w:val="7"/>
        </w:numPr>
        <w:jc w:val="both"/>
        <w:rPr>
          <w:bCs/>
          <w:highlight w:val="white"/>
          <w:lang w:val="en-US"/>
        </w:rPr>
      </w:pPr>
      <w:r>
        <w:rPr>
          <w:bCs/>
          <w:highlight w:val="white"/>
          <w:lang w:val="en-US"/>
        </w:rPr>
        <w:t>USD$</w:t>
      </w:r>
      <w:r w:rsidR="0034255D" w:rsidRPr="0034255D">
        <w:rPr>
          <w:bCs/>
          <w:highlight w:val="white"/>
          <w:lang w:val="en-US"/>
        </w:rPr>
        <w:t>$3</w:t>
      </w:r>
      <w:r w:rsidR="00481F6A">
        <w:rPr>
          <w:bCs/>
          <w:highlight w:val="white"/>
          <w:lang w:val="en-US"/>
        </w:rPr>
        <w:t>0</w:t>
      </w:r>
      <w:r w:rsidR="0034255D" w:rsidRPr="0034255D">
        <w:rPr>
          <w:bCs/>
          <w:highlight w:val="white"/>
          <w:lang w:val="en-US"/>
        </w:rPr>
        <w:t>,000</w:t>
      </w:r>
      <w:r w:rsidR="007470ED">
        <w:rPr>
          <w:bCs/>
          <w:highlight w:val="white"/>
          <w:lang w:val="en-US"/>
        </w:rPr>
        <w:t xml:space="preserve">, </w:t>
      </w:r>
      <w:r w:rsidR="00481F6A">
        <w:rPr>
          <w:bCs/>
          <w:highlight w:val="white"/>
          <w:lang w:val="en-US"/>
        </w:rPr>
        <w:t>150</w:t>
      </w:r>
      <w:r w:rsidR="0034255D" w:rsidRPr="0034255D">
        <w:rPr>
          <w:bCs/>
          <w:highlight w:val="white"/>
          <w:lang w:val="en-US"/>
        </w:rPr>
        <w:t xml:space="preserve">,000 </w:t>
      </w:r>
      <w:r w:rsidR="007470ED">
        <w:rPr>
          <w:bCs/>
          <w:highlight w:val="white"/>
          <w:lang w:val="en-US"/>
        </w:rPr>
        <w:t>S</w:t>
      </w:r>
      <w:r w:rsidR="0034255D" w:rsidRPr="0034255D">
        <w:rPr>
          <w:bCs/>
          <w:highlight w:val="white"/>
          <w:lang w:val="en-US"/>
        </w:rPr>
        <w:t xml:space="preserve">hares </w:t>
      </w:r>
      <w:proofErr w:type="gramStart"/>
      <w:r w:rsidR="007470ED">
        <w:rPr>
          <w:bCs/>
          <w:highlight w:val="white"/>
          <w:lang w:val="en-US"/>
        </w:rPr>
        <w:t xml:space="preserve">and </w:t>
      </w:r>
      <w:r>
        <w:rPr>
          <w:bCs/>
          <w:highlight w:val="white"/>
          <w:lang w:val="en-US"/>
        </w:rPr>
        <w:t xml:space="preserve"> USD</w:t>
      </w:r>
      <w:proofErr w:type="gramEnd"/>
      <w:r>
        <w:rPr>
          <w:bCs/>
          <w:highlight w:val="white"/>
          <w:lang w:val="en-US"/>
        </w:rPr>
        <w:t>$</w:t>
      </w:r>
      <w:r w:rsidR="007470ED">
        <w:rPr>
          <w:bCs/>
          <w:highlight w:val="white"/>
          <w:lang w:val="en-US"/>
        </w:rPr>
        <w:t xml:space="preserve">150,000 in exploration expenditures </w:t>
      </w:r>
      <w:r w:rsidR="0034255D" w:rsidRPr="0034255D">
        <w:rPr>
          <w:bCs/>
          <w:highlight w:val="white"/>
          <w:lang w:val="en-US"/>
        </w:rPr>
        <w:t>on or before the 2</w:t>
      </w:r>
      <w:r w:rsidR="0034255D" w:rsidRPr="0034255D">
        <w:rPr>
          <w:bCs/>
          <w:highlight w:val="white"/>
          <w:vertAlign w:val="superscript"/>
          <w:lang w:val="en-US"/>
        </w:rPr>
        <w:t>nd</w:t>
      </w:r>
      <w:r w:rsidR="0034255D" w:rsidRPr="0034255D">
        <w:rPr>
          <w:bCs/>
          <w:highlight w:val="white"/>
          <w:lang w:val="en-US"/>
        </w:rPr>
        <w:t xml:space="preserve"> anniversary</w:t>
      </w:r>
      <w:r w:rsidR="00481F6A">
        <w:rPr>
          <w:bCs/>
          <w:highlight w:val="white"/>
          <w:lang w:val="en-US"/>
        </w:rPr>
        <w:t xml:space="preserve"> of the Effective </w:t>
      </w:r>
      <w:proofErr w:type="gramStart"/>
      <w:r w:rsidR="00481F6A">
        <w:rPr>
          <w:bCs/>
          <w:highlight w:val="white"/>
          <w:lang w:val="en-US"/>
        </w:rPr>
        <w:t>Date</w:t>
      </w:r>
      <w:r w:rsidR="0034255D" w:rsidRPr="0034255D">
        <w:rPr>
          <w:bCs/>
          <w:highlight w:val="white"/>
          <w:lang w:val="en-US"/>
        </w:rPr>
        <w:t>;</w:t>
      </w:r>
      <w:proofErr w:type="gramEnd"/>
      <w:r w:rsidR="0034255D" w:rsidRPr="0034255D">
        <w:rPr>
          <w:bCs/>
          <w:highlight w:val="white"/>
          <w:lang w:val="en-US"/>
        </w:rPr>
        <w:t xml:space="preserve">   </w:t>
      </w:r>
    </w:p>
    <w:p w14:paraId="4F40EBA5" w14:textId="77777777" w:rsidR="007470ED" w:rsidRDefault="007470ED" w:rsidP="00692031">
      <w:pPr>
        <w:ind w:left="720"/>
        <w:jc w:val="both"/>
        <w:rPr>
          <w:bCs/>
          <w:highlight w:val="white"/>
          <w:lang w:val="en-US"/>
        </w:rPr>
      </w:pPr>
    </w:p>
    <w:p w14:paraId="3E82AB80" w14:textId="55A88DB5" w:rsidR="0034255D" w:rsidRDefault="00066EC2" w:rsidP="0034255D">
      <w:pPr>
        <w:numPr>
          <w:ilvl w:val="0"/>
          <w:numId w:val="7"/>
        </w:numPr>
        <w:jc w:val="both"/>
        <w:rPr>
          <w:bCs/>
          <w:highlight w:val="white"/>
          <w:lang w:val="en-US"/>
        </w:rPr>
      </w:pPr>
      <w:r>
        <w:rPr>
          <w:bCs/>
          <w:highlight w:val="white"/>
          <w:lang w:val="en-US"/>
        </w:rPr>
        <w:t>USD</w:t>
      </w:r>
      <w:r w:rsidR="0034255D" w:rsidRPr="0034255D">
        <w:rPr>
          <w:bCs/>
          <w:highlight w:val="white"/>
          <w:lang w:val="en-US"/>
        </w:rPr>
        <w:t>$</w:t>
      </w:r>
      <w:r w:rsidR="00481F6A">
        <w:rPr>
          <w:bCs/>
          <w:highlight w:val="white"/>
          <w:lang w:val="en-US"/>
        </w:rPr>
        <w:t>5</w:t>
      </w:r>
      <w:r w:rsidR="0034255D" w:rsidRPr="0034255D">
        <w:rPr>
          <w:bCs/>
          <w:highlight w:val="white"/>
          <w:lang w:val="en-US"/>
        </w:rPr>
        <w:t>0,000</w:t>
      </w:r>
      <w:r w:rsidR="005F2658">
        <w:rPr>
          <w:bCs/>
          <w:highlight w:val="white"/>
          <w:lang w:val="en-US"/>
        </w:rPr>
        <w:t xml:space="preserve">, </w:t>
      </w:r>
      <w:r w:rsidR="00481F6A">
        <w:rPr>
          <w:bCs/>
          <w:highlight w:val="white"/>
          <w:lang w:val="en-US"/>
        </w:rPr>
        <w:t>150</w:t>
      </w:r>
      <w:r w:rsidR="0034255D" w:rsidRPr="0034255D">
        <w:rPr>
          <w:bCs/>
          <w:highlight w:val="white"/>
          <w:lang w:val="en-US"/>
        </w:rPr>
        <w:t xml:space="preserve">,000 </w:t>
      </w:r>
      <w:r w:rsidR="007470ED">
        <w:rPr>
          <w:bCs/>
          <w:highlight w:val="white"/>
          <w:lang w:val="en-US"/>
        </w:rPr>
        <w:t>S</w:t>
      </w:r>
      <w:r w:rsidR="0034255D" w:rsidRPr="0034255D">
        <w:rPr>
          <w:bCs/>
          <w:highlight w:val="white"/>
          <w:lang w:val="en-US"/>
        </w:rPr>
        <w:t xml:space="preserve">hares </w:t>
      </w:r>
      <w:r w:rsidR="007470ED">
        <w:rPr>
          <w:bCs/>
          <w:highlight w:val="white"/>
          <w:lang w:val="en-US"/>
        </w:rPr>
        <w:t xml:space="preserve">and </w:t>
      </w:r>
      <w:r>
        <w:rPr>
          <w:bCs/>
          <w:highlight w:val="white"/>
          <w:lang w:val="en-US"/>
        </w:rPr>
        <w:t>USD$</w:t>
      </w:r>
      <w:r w:rsidR="007470ED">
        <w:rPr>
          <w:bCs/>
          <w:highlight w:val="white"/>
          <w:lang w:val="en-US"/>
        </w:rPr>
        <w:t xml:space="preserve">200,000 in exploration expenditures </w:t>
      </w:r>
      <w:r w:rsidR="0034255D" w:rsidRPr="0034255D">
        <w:rPr>
          <w:bCs/>
          <w:highlight w:val="white"/>
          <w:lang w:val="en-US"/>
        </w:rPr>
        <w:t>on or before the 3</w:t>
      </w:r>
      <w:r w:rsidR="0034255D" w:rsidRPr="0034255D">
        <w:rPr>
          <w:bCs/>
          <w:highlight w:val="white"/>
          <w:vertAlign w:val="superscript"/>
          <w:lang w:val="en-US"/>
        </w:rPr>
        <w:t>rd</w:t>
      </w:r>
      <w:r w:rsidR="0034255D" w:rsidRPr="0034255D">
        <w:rPr>
          <w:bCs/>
          <w:highlight w:val="white"/>
          <w:lang w:val="en-US"/>
        </w:rPr>
        <w:t xml:space="preserve"> anniversary</w:t>
      </w:r>
      <w:r w:rsidR="00481F6A">
        <w:rPr>
          <w:bCs/>
          <w:highlight w:val="white"/>
          <w:lang w:val="en-US"/>
        </w:rPr>
        <w:t xml:space="preserve"> of the Effective </w:t>
      </w:r>
      <w:proofErr w:type="gramStart"/>
      <w:r w:rsidR="00481F6A">
        <w:rPr>
          <w:bCs/>
          <w:highlight w:val="white"/>
          <w:lang w:val="en-US"/>
        </w:rPr>
        <w:t>Date;</w:t>
      </w:r>
      <w:proofErr w:type="gramEnd"/>
    </w:p>
    <w:p w14:paraId="3C1EA933" w14:textId="77777777" w:rsidR="007470ED" w:rsidRDefault="007470ED" w:rsidP="00692031">
      <w:pPr>
        <w:ind w:left="720"/>
        <w:jc w:val="both"/>
        <w:rPr>
          <w:bCs/>
          <w:highlight w:val="white"/>
          <w:lang w:val="en-US"/>
        </w:rPr>
      </w:pPr>
    </w:p>
    <w:p w14:paraId="305872E4" w14:textId="29C11F44" w:rsidR="00481F6A" w:rsidRDefault="00066EC2" w:rsidP="00481F6A">
      <w:pPr>
        <w:numPr>
          <w:ilvl w:val="0"/>
          <w:numId w:val="7"/>
        </w:numPr>
        <w:jc w:val="both"/>
        <w:rPr>
          <w:bCs/>
          <w:highlight w:val="white"/>
          <w:lang w:val="en-US"/>
        </w:rPr>
      </w:pPr>
      <w:r>
        <w:rPr>
          <w:bCs/>
          <w:highlight w:val="white"/>
          <w:lang w:val="en-US"/>
        </w:rPr>
        <w:t>USD$</w:t>
      </w:r>
      <w:r w:rsidR="00481F6A">
        <w:rPr>
          <w:bCs/>
          <w:highlight w:val="white"/>
          <w:lang w:val="en-US"/>
        </w:rPr>
        <w:t>5</w:t>
      </w:r>
      <w:r w:rsidR="00481F6A" w:rsidRPr="0034255D">
        <w:rPr>
          <w:bCs/>
          <w:highlight w:val="white"/>
          <w:lang w:val="en-US"/>
        </w:rPr>
        <w:t>0,000</w:t>
      </w:r>
      <w:r w:rsidR="005F2658">
        <w:rPr>
          <w:bCs/>
          <w:highlight w:val="white"/>
          <w:lang w:val="en-US"/>
        </w:rPr>
        <w:t>,</w:t>
      </w:r>
      <w:r w:rsidR="00481F6A" w:rsidRPr="0034255D">
        <w:rPr>
          <w:bCs/>
          <w:highlight w:val="white"/>
          <w:lang w:val="en-US"/>
        </w:rPr>
        <w:t xml:space="preserve"> </w:t>
      </w:r>
      <w:r w:rsidR="00481F6A">
        <w:rPr>
          <w:bCs/>
          <w:highlight w:val="white"/>
          <w:lang w:val="en-US"/>
        </w:rPr>
        <w:t>200</w:t>
      </w:r>
      <w:r w:rsidR="00481F6A" w:rsidRPr="0034255D">
        <w:rPr>
          <w:bCs/>
          <w:highlight w:val="white"/>
          <w:lang w:val="en-US"/>
        </w:rPr>
        <w:t xml:space="preserve">,000 </w:t>
      </w:r>
      <w:r w:rsidR="007470ED">
        <w:rPr>
          <w:bCs/>
          <w:highlight w:val="white"/>
          <w:lang w:val="en-US"/>
        </w:rPr>
        <w:t>S</w:t>
      </w:r>
      <w:r w:rsidR="00481F6A" w:rsidRPr="0034255D">
        <w:rPr>
          <w:bCs/>
          <w:highlight w:val="white"/>
          <w:lang w:val="en-US"/>
        </w:rPr>
        <w:t xml:space="preserve">hares </w:t>
      </w:r>
      <w:r w:rsidR="007470ED">
        <w:rPr>
          <w:bCs/>
          <w:highlight w:val="white"/>
          <w:lang w:val="en-US"/>
        </w:rPr>
        <w:t xml:space="preserve">and </w:t>
      </w:r>
      <w:r>
        <w:rPr>
          <w:bCs/>
          <w:highlight w:val="white"/>
          <w:lang w:val="en-US"/>
        </w:rPr>
        <w:t>USD$</w:t>
      </w:r>
      <w:r w:rsidR="007470ED">
        <w:rPr>
          <w:bCs/>
          <w:highlight w:val="white"/>
          <w:lang w:val="en-US"/>
        </w:rPr>
        <w:t xml:space="preserve">250,000 in exploration expenditures </w:t>
      </w:r>
      <w:r w:rsidR="00481F6A" w:rsidRPr="0034255D">
        <w:rPr>
          <w:bCs/>
          <w:highlight w:val="white"/>
          <w:lang w:val="en-US"/>
        </w:rPr>
        <w:t xml:space="preserve">on or before the </w:t>
      </w:r>
      <w:r w:rsidR="00481F6A">
        <w:rPr>
          <w:bCs/>
          <w:highlight w:val="white"/>
          <w:lang w:val="en-US"/>
        </w:rPr>
        <w:t>4</w:t>
      </w:r>
      <w:r w:rsidR="00481F6A" w:rsidRPr="00481F6A">
        <w:rPr>
          <w:bCs/>
          <w:highlight w:val="white"/>
          <w:vertAlign w:val="superscript"/>
          <w:lang w:val="en-US"/>
        </w:rPr>
        <w:t>th</w:t>
      </w:r>
      <w:r w:rsidR="00481F6A">
        <w:rPr>
          <w:bCs/>
          <w:highlight w:val="white"/>
          <w:lang w:val="en-US"/>
        </w:rPr>
        <w:t xml:space="preserve"> </w:t>
      </w:r>
      <w:r w:rsidR="00481F6A" w:rsidRPr="0034255D">
        <w:rPr>
          <w:bCs/>
          <w:highlight w:val="white"/>
          <w:lang w:val="en-US"/>
        </w:rPr>
        <w:t>anniversary</w:t>
      </w:r>
      <w:r w:rsidR="00481F6A">
        <w:rPr>
          <w:bCs/>
          <w:highlight w:val="white"/>
          <w:lang w:val="en-US"/>
        </w:rPr>
        <w:t xml:space="preserve"> of the Effective Date; and</w:t>
      </w:r>
    </w:p>
    <w:p w14:paraId="723C8E3E" w14:textId="77777777" w:rsidR="007470ED" w:rsidRDefault="007470ED" w:rsidP="00692031">
      <w:pPr>
        <w:ind w:left="720"/>
        <w:jc w:val="both"/>
        <w:rPr>
          <w:bCs/>
          <w:highlight w:val="white"/>
          <w:lang w:val="en-US"/>
        </w:rPr>
      </w:pPr>
    </w:p>
    <w:p w14:paraId="3E1242AD" w14:textId="4D72EFA2" w:rsidR="00481F6A" w:rsidRPr="0034255D" w:rsidRDefault="00066EC2" w:rsidP="00481F6A">
      <w:pPr>
        <w:numPr>
          <w:ilvl w:val="0"/>
          <w:numId w:val="7"/>
        </w:numPr>
        <w:jc w:val="both"/>
        <w:rPr>
          <w:bCs/>
          <w:highlight w:val="white"/>
          <w:lang w:val="en-US"/>
        </w:rPr>
      </w:pPr>
      <w:r>
        <w:rPr>
          <w:bCs/>
          <w:highlight w:val="white"/>
          <w:lang w:val="en-US"/>
        </w:rPr>
        <w:t>USD$</w:t>
      </w:r>
      <w:r w:rsidR="00481F6A">
        <w:rPr>
          <w:bCs/>
          <w:highlight w:val="white"/>
          <w:lang w:val="en-US"/>
        </w:rPr>
        <w:t>710</w:t>
      </w:r>
      <w:r w:rsidR="00481F6A" w:rsidRPr="0034255D">
        <w:rPr>
          <w:bCs/>
          <w:highlight w:val="white"/>
          <w:lang w:val="en-US"/>
        </w:rPr>
        <w:t>,000</w:t>
      </w:r>
      <w:r w:rsidR="005F2658">
        <w:rPr>
          <w:bCs/>
          <w:highlight w:val="white"/>
          <w:lang w:val="en-US"/>
        </w:rPr>
        <w:t>,</w:t>
      </w:r>
      <w:r w:rsidR="00481F6A" w:rsidRPr="0034255D">
        <w:rPr>
          <w:bCs/>
          <w:highlight w:val="white"/>
          <w:lang w:val="en-US"/>
        </w:rPr>
        <w:t xml:space="preserve"> </w:t>
      </w:r>
      <w:r w:rsidR="00481F6A">
        <w:rPr>
          <w:bCs/>
          <w:highlight w:val="white"/>
          <w:lang w:val="en-US"/>
        </w:rPr>
        <w:t>250</w:t>
      </w:r>
      <w:r w:rsidR="00481F6A" w:rsidRPr="0034255D">
        <w:rPr>
          <w:bCs/>
          <w:highlight w:val="white"/>
          <w:lang w:val="en-US"/>
        </w:rPr>
        <w:t xml:space="preserve">,000 </w:t>
      </w:r>
      <w:r w:rsidR="007470ED">
        <w:rPr>
          <w:bCs/>
          <w:highlight w:val="white"/>
          <w:lang w:val="en-US"/>
        </w:rPr>
        <w:t>S</w:t>
      </w:r>
      <w:r w:rsidR="00481F6A" w:rsidRPr="0034255D">
        <w:rPr>
          <w:bCs/>
          <w:highlight w:val="white"/>
          <w:lang w:val="en-US"/>
        </w:rPr>
        <w:t xml:space="preserve">hares </w:t>
      </w:r>
      <w:r w:rsidR="007470ED">
        <w:rPr>
          <w:bCs/>
          <w:highlight w:val="white"/>
          <w:lang w:val="en-US"/>
        </w:rPr>
        <w:t xml:space="preserve">and </w:t>
      </w:r>
      <w:r>
        <w:rPr>
          <w:bCs/>
          <w:highlight w:val="white"/>
          <w:lang w:val="en-US"/>
        </w:rPr>
        <w:t>USD$</w:t>
      </w:r>
      <w:r w:rsidR="007470ED">
        <w:rPr>
          <w:bCs/>
          <w:highlight w:val="white"/>
          <w:lang w:val="en-US"/>
        </w:rPr>
        <w:t xml:space="preserve">400,000 in exploration expenditures </w:t>
      </w:r>
      <w:r w:rsidR="00481F6A" w:rsidRPr="0034255D">
        <w:rPr>
          <w:bCs/>
          <w:highlight w:val="white"/>
          <w:lang w:val="en-US"/>
        </w:rPr>
        <w:t xml:space="preserve">on or before the </w:t>
      </w:r>
      <w:r w:rsidR="00481F6A">
        <w:rPr>
          <w:bCs/>
          <w:highlight w:val="white"/>
          <w:lang w:val="en-US"/>
        </w:rPr>
        <w:t>5</w:t>
      </w:r>
      <w:r w:rsidR="00481F6A" w:rsidRPr="00481F6A">
        <w:rPr>
          <w:bCs/>
          <w:highlight w:val="white"/>
          <w:vertAlign w:val="superscript"/>
          <w:lang w:val="en-US"/>
        </w:rPr>
        <w:t>th</w:t>
      </w:r>
      <w:r w:rsidR="00481F6A">
        <w:rPr>
          <w:bCs/>
          <w:highlight w:val="white"/>
          <w:lang w:val="en-US"/>
        </w:rPr>
        <w:t xml:space="preserve"> </w:t>
      </w:r>
      <w:r w:rsidR="00481F6A" w:rsidRPr="0034255D">
        <w:rPr>
          <w:bCs/>
          <w:highlight w:val="white"/>
          <w:lang w:val="en-US"/>
        </w:rPr>
        <w:t>anniversary</w:t>
      </w:r>
      <w:r w:rsidR="00481F6A">
        <w:rPr>
          <w:bCs/>
          <w:highlight w:val="white"/>
          <w:lang w:val="en-US"/>
        </w:rPr>
        <w:t xml:space="preserve"> of the Effective Date.</w:t>
      </w:r>
    </w:p>
    <w:p w14:paraId="35FA2C49" w14:textId="77777777" w:rsidR="0034255D" w:rsidRPr="0034255D" w:rsidRDefault="0034255D" w:rsidP="0034255D">
      <w:pPr>
        <w:jc w:val="both"/>
        <w:rPr>
          <w:bCs/>
          <w:highlight w:val="white"/>
          <w:lang w:val="en-US"/>
        </w:rPr>
      </w:pPr>
    </w:p>
    <w:p w14:paraId="6158F7F7" w14:textId="3222B49F" w:rsidR="0034255D" w:rsidRPr="0034255D" w:rsidRDefault="0034255D" w:rsidP="0034255D">
      <w:pPr>
        <w:jc w:val="both"/>
        <w:rPr>
          <w:bCs/>
          <w:highlight w:val="white"/>
        </w:rPr>
      </w:pPr>
      <w:r w:rsidRPr="0034255D">
        <w:rPr>
          <w:bCs/>
          <w:highlight w:val="white"/>
          <w:lang w:val="en-US"/>
        </w:rPr>
        <w:t xml:space="preserve">Upon the exercise of the Option, the Optionor will be granted a </w:t>
      </w:r>
      <w:r w:rsidR="00481F6A">
        <w:rPr>
          <w:bCs/>
          <w:highlight w:val="white"/>
          <w:lang w:val="en-US"/>
        </w:rPr>
        <w:t>2</w:t>
      </w:r>
      <w:r w:rsidRPr="0034255D">
        <w:rPr>
          <w:bCs/>
          <w:highlight w:val="white"/>
          <w:lang w:val="en-US"/>
        </w:rPr>
        <w:t>% net smelter returns royalty (the “</w:t>
      </w:r>
      <w:r w:rsidRPr="0034255D">
        <w:rPr>
          <w:b/>
          <w:highlight w:val="white"/>
          <w:lang w:val="en-US"/>
        </w:rPr>
        <w:t>NSR Royalty</w:t>
      </w:r>
      <w:r w:rsidRPr="0034255D">
        <w:rPr>
          <w:bCs/>
          <w:highlight w:val="white"/>
          <w:lang w:val="en-US"/>
        </w:rPr>
        <w:t>) on the Property</w:t>
      </w:r>
      <w:r w:rsidR="007470ED">
        <w:rPr>
          <w:bCs/>
          <w:highlight w:val="white"/>
          <w:lang w:val="en-US"/>
        </w:rPr>
        <w:t>,</w:t>
      </w:r>
      <w:r w:rsidRPr="0034255D">
        <w:rPr>
          <w:bCs/>
          <w:highlight w:val="white"/>
          <w:lang w:val="en-US"/>
        </w:rPr>
        <w:t xml:space="preserve"> with the Company retaining the right to buy</w:t>
      </w:r>
      <w:r w:rsidR="007470ED">
        <w:rPr>
          <w:bCs/>
          <w:highlight w:val="white"/>
          <w:lang w:val="en-US"/>
        </w:rPr>
        <w:t xml:space="preserve"> </w:t>
      </w:r>
      <w:r w:rsidRPr="0034255D">
        <w:rPr>
          <w:bCs/>
          <w:highlight w:val="white"/>
          <w:lang w:val="en-US"/>
        </w:rPr>
        <w:t>back one-half (1%) of the NSR Royalty</w:t>
      </w:r>
      <w:r w:rsidR="00481F6A">
        <w:rPr>
          <w:bCs/>
          <w:highlight w:val="white"/>
          <w:lang w:val="en-US"/>
        </w:rPr>
        <w:t xml:space="preserve"> by paying the Optionor an amount equal to the value of 500 ounces of .999 fine gold. </w:t>
      </w:r>
    </w:p>
    <w:p w14:paraId="502A8BFE" w14:textId="77777777" w:rsidR="00481F6A" w:rsidRDefault="00481F6A" w:rsidP="0034255D">
      <w:pPr>
        <w:jc w:val="both"/>
        <w:rPr>
          <w:bCs/>
          <w:highlight w:val="white"/>
          <w:lang w:val="en-US"/>
        </w:rPr>
      </w:pPr>
    </w:p>
    <w:p w14:paraId="4B39F414" w14:textId="05283455" w:rsidR="0034255D" w:rsidRPr="0034255D" w:rsidRDefault="0034255D" w:rsidP="0034255D">
      <w:pPr>
        <w:jc w:val="both"/>
        <w:rPr>
          <w:highlight w:val="white"/>
          <w:lang w:val="en-US"/>
        </w:rPr>
      </w:pPr>
      <w:r w:rsidRPr="0034255D">
        <w:rPr>
          <w:bCs/>
          <w:highlight w:val="white"/>
          <w:lang w:val="en-US"/>
        </w:rPr>
        <w:t xml:space="preserve">The </w:t>
      </w:r>
      <w:r w:rsidR="008C3293">
        <w:rPr>
          <w:bCs/>
          <w:highlight w:val="white"/>
          <w:lang w:val="en-US"/>
        </w:rPr>
        <w:t>A</w:t>
      </w:r>
      <w:r w:rsidRPr="0034255D">
        <w:rPr>
          <w:bCs/>
          <w:highlight w:val="white"/>
          <w:lang w:val="en-US"/>
        </w:rPr>
        <w:t>greement is subject to the approval of the TSXV</w:t>
      </w:r>
      <w:r w:rsidRPr="0034255D">
        <w:rPr>
          <w:highlight w:val="white"/>
          <w:lang w:val="en-US"/>
        </w:rPr>
        <w:t>.</w:t>
      </w:r>
    </w:p>
    <w:p w14:paraId="4E04D90E" w14:textId="77777777" w:rsidR="007470ED" w:rsidRDefault="007470ED" w:rsidP="009D475F">
      <w:pPr>
        <w:jc w:val="both"/>
      </w:pPr>
    </w:p>
    <w:p w14:paraId="187B9D9D" w14:textId="75BFD92E" w:rsidR="007470ED" w:rsidRDefault="007470ED" w:rsidP="009D475F">
      <w:pPr>
        <w:jc w:val="both"/>
        <w:rPr>
          <w:b/>
          <w:bCs/>
          <w:color w:val="000000" w:themeColor="text1"/>
        </w:rPr>
      </w:pPr>
      <w:r>
        <w:rPr>
          <w:b/>
          <w:bCs/>
          <w:color w:val="000000" w:themeColor="text1"/>
        </w:rPr>
        <w:t>Qualified Person</w:t>
      </w:r>
    </w:p>
    <w:p w14:paraId="0F1F7164" w14:textId="0F06F1EC" w:rsidR="007470ED" w:rsidRDefault="007470ED" w:rsidP="009D475F">
      <w:pPr>
        <w:jc w:val="both"/>
      </w:pPr>
      <w:r w:rsidRPr="007470ED">
        <w:t>The scientific and technical information in this news release has been reviewed, verified and approved by Leo Hathaway, P. Geo., Chief Geologist of Scorpio Gold, a "Qualified Person", as defined under National Instrument 43-101 Standards of Disclosure for Mineral Projects. Verification included review of laboratory certificates, review of field logs and chain-of-custody records, inspection of blank/standard/duplicate performance, and review of collar and down-hole survey data. No limitations or failures to verify were identified.</w:t>
      </w:r>
    </w:p>
    <w:p w14:paraId="517C755B" w14:textId="77777777" w:rsidR="002A50E3" w:rsidRDefault="002A50E3" w:rsidP="00E66CFC">
      <w:pPr>
        <w:jc w:val="both"/>
      </w:pPr>
    </w:p>
    <w:p w14:paraId="34CF06A2" w14:textId="77777777" w:rsidR="00430C5C" w:rsidRPr="00A20680" w:rsidRDefault="00430C5C" w:rsidP="00430C5C">
      <w:pPr>
        <w:keepNext/>
        <w:spacing w:line="240" w:lineRule="auto"/>
        <w:jc w:val="both"/>
        <w:rPr>
          <w:b/>
          <w:bCs/>
        </w:rPr>
      </w:pPr>
      <w:r w:rsidRPr="00A20680">
        <w:rPr>
          <w:b/>
          <w:bCs/>
        </w:rPr>
        <w:t>About the Manhattan District</w:t>
      </w:r>
    </w:p>
    <w:p w14:paraId="053E4CD3" w14:textId="77777777" w:rsidR="00430C5C" w:rsidRPr="00102060" w:rsidRDefault="00430C5C" w:rsidP="00430C5C">
      <w:pPr>
        <w:spacing w:before="100" w:beforeAutospacing="1" w:after="100" w:afterAutospacing="1" w:line="240" w:lineRule="auto"/>
        <w:jc w:val="both"/>
        <w:rPr>
          <w:rFonts w:eastAsia="Times New Roman"/>
          <w:lang w:eastAsia="en-US"/>
        </w:rPr>
      </w:pPr>
      <w:r w:rsidRPr="00CE0B74">
        <w:rPr>
          <w:rFonts w:eastAsia="Times New Roman"/>
          <w:lang w:eastAsia="en-US"/>
        </w:rPr>
        <w:t xml:space="preserve">Manhattan, located in the Walker Lane Trend of Nevada, USA, is road accessible and lies approximately 20 kilometers south of the operating </w:t>
      </w:r>
      <w:hyperlink r:id="rId12" w:anchor="americas-roundmountain" w:history="1">
        <w:r w:rsidRPr="00CE0B74">
          <w:rPr>
            <w:rStyle w:val="Hyperlink"/>
            <w:rFonts w:eastAsia="Times New Roman"/>
            <w:lang w:eastAsia="en-US"/>
          </w:rPr>
          <w:t>Round Mountain Gold Mine</w:t>
        </w:r>
      </w:hyperlink>
      <w:r w:rsidRPr="00334221">
        <w:rPr>
          <w:rFonts w:eastAsia="Times New Roman"/>
          <w:lang w:eastAsia="en-US"/>
        </w:rPr>
        <w:t xml:space="preserve">, which has produced more than 15 million ounces of gold. For the first time, the Company has consolidated </w:t>
      </w:r>
      <w:r>
        <w:rPr>
          <w:rFonts w:eastAsia="Times New Roman"/>
          <w:lang w:eastAsia="en-US"/>
        </w:rPr>
        <w:t>Manhattan</w:t>
      </w:r>
      <w:r w:rsidRPr="00334221">
        <w:rPr>
          <w:rFonts w:eastAsia="Times New Roman"/>
          <w:lang w:eastAsia="en-US"/>
        </w:rPr>
        <w:t xml:space="preserve">’s past-producing mines under a single entity that holds valuable permitting and water rights. </w:t>
      </w:r>
      <w:r w:rsidRPr="00102060">
        <w:rPr>
          <w:rFonts w:eastAsia="Times New Roman"/>
          <w:lang w:eastAsia="en-US"/>
        </w:rPr>
        <w:t>Historically, Manhattan has produced approximately 700,000 ounces of gold from high-grade placer and lode operations dating from the late 1890s through to the mid-2000s.¹</w:t>
      </w:r>
      <w:r>
        <w:rPr>
          <w:rFonts w:eastAsia="Times New Roman"/>
          <w:lang w:eastAsia="en-US"/>
        </w:rPr>
        <w:t xml:space="preserve"> </w:t>
      </w:r>
      <w:r w:rsidRPr="00102060">
        <w:rPr>
          <w:rFonts w:eastAsia="Times New Roman"/>
          <w:lang w:eastAsia="en-US"/>
        </w:rPr>
        <w:t xml:space="preserve">The maiden mineral resource estimate </w:t>
      </w:r>
      <w:r>
        <w:rPr>
          <w:rFonts w:eastAsia="Times New Roman"/>
          <w:lang w:eastAsia="en-US"/>
        </w:rPr>
        <w:t>(the “</w:t>
      </w:r>
      <w:r w:rsidRPr="00EB1D51">
        <w:rPr>
          <w:rFonts w:eastAsia="Times New Roman"/>
          <w:b/>
          <w:bCs/>
          <w:lang w:eastAsia="en-US"/>
        </w:rPr>
        <w:t>Maiden MRE</w:t>
      </w:r>
      <w:r>
        <w:rPr>
          <w:rFonts w:eastAsia="Times New Roman"/>
          <w:lang w:eastAsia="en-US"/>
        </w:rPr>
        <w:t xml:space="preserve">”) </w:t>
      </w:r>
      <w:r w:rsidRPr="00102060">
        <w:rPr>
          <w:rFonts w:eastAsia="Times New Roman"/>
          <w:lang w:eastAsia="en-US"/>
        </w:rPr>
        <w:t xml:space="preserve">covering the </w:t>
      </w:r>
      <w:proofErr w:type="spellStart"/>
      <w:r w:rsidRPr="00102060">
        <w:rPr>
          <w:rFonts w:eastAsia="Times New Roman"/>
          <w:lang w:eastAsia="en-US"/>
        </w:rPr>
        <w:t>Goldwedge</w:t>
      </w:r>
      <w:proofErr w:type="spellEnd"/>
      <w:r w:rsidRPr="00102060">
        <w:rPr>
          <w:rFonts w:eastAsia="Times New Roman"/>
          <w:lang w:eastAsia="en-US"/>
        </w:rPr>
        <w:t xml:space="preserve"> and Manhattan Pit areas of </w:t>
      </w:r>
      <w:r>
        <w:rPr>
          <w:rFonts w:eastAsia="Times New Roman"/>
          <w:lang w:eastAsia="en-US"/>
        </w:rPr>
        <w:t>Manhattan</w:t>
      </w:r>
      <w:r w:rsidRPr="00102060">
        <w:rPr>
          <w:rFonts w:eastAsia="Times New Roman"/>
          <w:lang w:eastAsia="en-US"/>
        </w:rPr>
        <w:t xml:space="preserve"> is comprised of 18,343,000 tonnes grading 1.26 g/t gold for a total of 740,000 oz contained gold in the inferred category.²</w:t>
      </w:r>
      <w:r>
        <w:rPr>
          <w:rFonts w:eastAsia="Times New Roman"/>
          <w:lang w:eastAsia="en-US"/>
        </w:rPr>
        <w:t xml:space="preserve"> </w:t>
      </w:r>
    </w:p>
    <w:p w14:paraId="4215DCB5" w14:textId="77777777" w:rsidR="00430C5C" w:rsidRPr="00102060" w:rsidRDefault="00430C5C" w:rsidP="00430C5C">
      <w:pPr>
        <w:spacing w:before="100" w:beforeAutospacing="1" w:after="100" w:afterAutospacing="1" w:line="240" w:lineRule="auto"/>
        <w:jc w:val="both"/>
        <w:rPr>
          <w:rFonts w:eastAsia="Times New Roman"/>
          <w:lang w:eastAsia="en-US"/>
        </w:rPr>
      </w:pPr>
      <w:r w:rsidRPr="00102060">
        <w:rPr>
          <w:rFonts w:eastAsia="Times New Roman"/>
          <w:lang w:eastAsia="en-US"/>
        </w:rPr>
        <w:t>A historical mineral resource estimate (the “</w:t>
      </w:r>
      <w:r w:rsidRPr="00533575">
        <w:rPr>
          <w:rFonts w:eastAsia="Times New Roman"/>
          <w:b/>
          <w:bCs/>
          <w:lang w:eastAsia="en-US"/>
        </w:rPr>
        <w:t>Historical MRE</w:t>
      </w:r>
      <w:r w:rsidRPr="00102060">
        <w:rPr>
          <w:rFonts w:eastAsia="Times New Roman"/>
          <w:lang w:eastAsia="en-US"/>
        </w:rPr>
        <w:t xml:space="preserve">”) covers the Black Mammoth, April Fool, Hooligan, Keystone, and Jumbo areas of Manhattan and comprises 1,652,325 tonnes grading 5.89 g/t gold for a total of 303,949 oz contained gold.³ The deposit is interpreted as a low-sulfidation, epithermal, gold-rich system situated adjacent to the Tertiary-aged Manhattan caldera in the Southern </w:t>
      </w:r>
      <w:proofErr w:type="spellStart"/>
      <w:r w:rsidRPr="00102060">
        <w:rPr>
          <w:rFonts w:eastAsia="Times New Roman"/>
          <w:lang w:eastAsia="en-US"/>
        </w:rPr>
        <w:t>Toquima</w:t>
      </w:r>
      <w:proofErr w:type="spellEnd"/>
      <w:r w:rsidRPr="00102060">
        <w:rPr>
          <w:rFonts w:eastAsia="Times New Roman"/>
          <w:lang w:eastAsia="en-US"/>
        </w:rPr>
        <w:t xml:space="preserve"> Range of Nevada.</w:t>
      </w:r>
      <w:r>
        <w:rPr>
          <w:rFonts w:eastAsia="Times New Roman"/>
          <w:lang w:eastAsia="en-US"/>
        </w:rPr>
        <w:t xml:space="preserve"> </w:t>
      </w:r>
      <w:r w:rsidRPr="00EB1D51">
        <w:rPr>
          <w:rFonts w:eastAsia="Times New Roman"/>
          <w:lang w:eastAsia="en-US"/>
        </w:rPr>
        <w:t xml:space="preserve">A </w:t>
      </w:r>
      <w:r>
        <w:rPr>
          <w:rFonts w:eastAsia="Times New Roman"/>
          <w:lang w:eastAsia="en-US"/>
        </w:rPr>
        <w:t>“</w:t>
      </w:r>
      <w:r w:rsidRPr="00EB1D51">
        <w:rPr>
          <w:rFonts w:eastAsia="Times New Roman"/>
          <w:lang w:eastAsia="en-US"/>
        </w:rPr>
        <w:t>Qualified Person</w:t>
      </w:r>
      <w:r>
        <w:rPr>
          <w:rFonts w:eastAsia="Times New Roman"/>
          <w:lang w:eastAsia="en-US"/>
        </w:rPr>
        <w:t>”</w:t>
      </w:r>
      <w:r w:rsidRPr="00EB1D51">
        <w:rPr>
          <w:rFonts w:eastAsia="Times New Roman"/>
          <w:lang w:eastAsia="en-US"/>
        </w:rPr>
        <w:t xml:space="preserve"> </w:t>
      </w:r>
      <w:r w:rsidRPr="003B6F35">
        <w:t>as defined</w:t>
      </w:r>
      <w:r>
        <w:t xml:space="preserve"> in</w:t>
      </w:r>
      <w:r w:rsidRPr="003B6F35">
        <w:t xml:space="preserve"> </w:t>
      </w:r>
      <w:r w:rsidRPr="00EB1D51">
        <w:t xml:space="preserve">National Instrument 43-101 - </w:t>
      </w:r>
      <w:r w:rsidRPr="00EB1D51">
        <w:rPr>
          <w:i/>
          <w:iCs/>
        </w:rPr>
        <w:t>Standards of Disclosure for Mineral Projects</w:t>
      </w:r>
      <w:r w:rsidRPr="00EB1D51">
        <w:t xml:space="preserve"> (“</w:t>
      </w:r>
      <w:r w:rsidRPr="00EB1D51">
        <w:rPr>
          <w:b/>
          <w:bCs/>
        </w:rPr>
        <w:t>NI 43-101</w:t>
      </w:r>
      <w:r w:rsidRPr="00EB1D51">
        <w:t>”)</w:t>
      </w:r>
      <w:r>
        <w:t xml:space="preserve"> </w:t>
      </w:r>
      <w:r w:rsidRPr="00EB1D51">
        <w:rPr>
          <w:rFonts w:eastAsia="Times New Roman"/>
          <w:lang w:eastAsia="en-US"/>
        </w:rPr>
        <w:t>has not done sufficient work to make the Historical MRE current, and</w:t>
      </w:r>
      <w:r>
        <w:rPr>
          <w:rFonts w:eastAsia="Times New Roman"/>
          <w:lang w:eastAsia="en-US"/>
        </w:rPr>
        <w:t xml:space="preserve"> </w:t>
      </w:r>
      <w:r w:rsidRPr="00EB1D51">
        <w:rPr>
          <w:rFonts w:eastAsia="Times New Roman"/>
          <w:lang w:eastAsia="en-US"/>
        </w:rPr>
        <w:t>the Company is not treating the Historical MRE as current.</w:t>
      </w:r>
      <w:r>
        <w:rPr>
          <w:rFonts w:eastAsia="Times New Roman"/>
          <w:lang w:eastAsia="en-US"/>
        </w:rPr>
        <w:t xml:space="preserve"> </w:t>
      </w:r>
    </w:p>
    <w:p w14:paraId="5BC0E7BA" w14:textId="77777777" w:rsidR="00430C5C" w:rsidRPr="00FF69BF" w:rsidRDefault="00430C5C" w:rsidP="00430C5C">
      <w:pPr>
        <w:spacing w:before="100" w:beforeAutospacing="1" w:after="100" w:afterAutospacing="1" w:line="240" w:lineRule="auto"/>
        <w:jc w:val="both"/>
        <w:rPr>
          <w:rFonts w:eastAsia="Times New Roman"/>
          <w:b/>
          <w:bCs/>
          <w:lang w:eastAsia="en-US"/>
        </w:rPr>
      </w:pPr>
      <w:r w:rsidRPr="00FF69BF">
        <w:rPr>
          <w:rFonts w:eastAsia="Times New Roman"/>
          <w:b/>
          <w:bCs/>
          <w:lang w:eastAsia="en-US"/>
        </w:rPr>
        <w:t>Note</w:t>
      </w:r>
      <w:r>
        <w:rPr>
          <w:rFonts w:eastAsia="Times New Roman"/>
          <w:b/>
          <w:bCs/>
          <w:lang w:eastAsia="en-US"/>
        </w:rPr>
        <w:t>s</w:t>
      </w:r>
    </w:p>
    <w:p w14:paraId="1286B63F" w14:textId="77777777" w:rsidR="00430C5C" w:rsidRDefault="00430C5C" w:rsidP="00430C5C">
      <w:pPr>
        <w:pStyle w:val="ListParagraph"/>
        <w:numPr>
          <w:ilvl w:val="0"/>
          <w:numId w:val="10"/>
        </w:numPr>
        <w:spacing w:before="100" w:beforeAutospacing="1" w:after="100" w:afterAutospacing="1" w:line="240" w:lineRule="auto"/>
        <w:ind w:left="360"/>
        <w:jc w:val="both"/>
        <w:rPr>
          <w:rFonts w:eastAsia="Times New Roman"/>
          <w:i/>
          <w:iCs/>
          <w:sz w:val="18"/>
          <w:szCs w:val="18"/>
          <w:lang w:eastAsia="en-US"/>
        </w:rPr>
      </w:pPr>
      <w:r w:rsidRPr="00FF69BF">
        <w:rPr>
          <w:rFonts w:eastAsia="Times New Roman"/>
          <w:b/>
          <w:bCs/>
          <w:i/>
          <w:iCs/>
          <w:sz w:val="18"/>
          <w:szCs w:val="18"/>
          <w:lang w:eastAsia="en-US"/>
        </w:rPr>
        <w:lastRenderedPageBreak/>
        <w:t>Adjacent Properties:</w:t>
      </w:r>
      <w:r w:rsidRPr="00FF69BF">
        <w:rPr>
          <w:rFonts w:eastAsia="Times New Roman"/>
          <w:i/>
          <w:iCs/>
          <w:sz w:val="18"/>
          <w:szCs w:val="18"/>
          <w:lang w:eastAsia="en-US"/>
        </w:rPr>
        <w:t xml:space="preserve"> The Company has no interest in, or rights to, any of the adjacent properties mentioned</w:t>
      </w:r>
      <w:r>
        <w:rPr>
          <w:rFonts w:eastAsia="Times New Roman"/>
          <w:i/>
          <w:iCs/>
          <w:sz w:val="18"/>
          <w:szCs w:val="18"/>
          <w:lang w:eastAsia="en-US"/>
        </w:rPr>
        <w:t>, including the Round Mountain Gold Mine</w:t>
      </w:r>
      <w:r w:rsidRPr="00FF69BF">
        <w:rPr>
          <w:rFonts w:eastAsia="Times New Roman"/>
          <w:i/>
          <w:iCs/>
          <w:sz w:val="18"/>
          <w:szCs w:val="18"/>
          <w:lang w:eastAsia="en-US"/>
        </w:rPr>
        <w:t>, and exploration results on adjacent properties are not necessarily indicative of mineralization on the Company’s properties. Any references to exploration results on adjacent properties are provided for information only and do not imply any certainty of achieving similar results on the Company’s properties.</w:t>
      </w:r>
    </w:p>
    <w:p w14:paraId="550A4309" w14:textId="77777777" w:rsidR="00430C5C" w:rsidRDefault="00430C5C" w:rsidP="00430C5C">
      <w:pPr>
        <w:pStyle w:val="ListParagraph"/>
        <w:spacing w:before="100" w:beforeAutospacing="1" w:after="100" w:afterAutospacing="1" w:line="240" w:lineRule="auto"/>
        <w:ind w:left="360" w:hanging="360"/>
        <w:jc w:val="both"/>
        <w:rPr>
          <w:rFonts w:eastAsia="Times New Roman"/>
          <w:i/>
          <w:iCs/>
          <w:sz w:val="18"/>
          <w:szCs w:val="18"/>
          <w:lang w:eastAsia="en-US"/>
        </w:rPr>
      </w:pPr>
    </w:p>
    <w:p w14:paraId="05BA9A4C" w14:textId="77777777" w:rsidR="00430C5C" w:rsidRDefault="00430C5C" w:rsidP="00430C5C">
      <w:pPr>
        <w:pStyle w:val="ListParagraph"/>
        <w:numPr>
          <w:ilvl w:val="0"/>
          <w:numId w:val="10"/>
        </w:numPr>
        <w:ind w:left="360"/>
        <w:jc w:val="both"/>
        <w:rPr>
          <w:rFonts w:eastAsia="Times New Roman"/>
          <w:i/>
          <w:iCs/>
          <w:sz w:val="18"/>
          <w:szCs w:val="18"/>
          <w:lang w:eastAsia="en-US"/>
        </w:rPr>
      </w:pPr>
      <w:r w:rsidRPr="00FF69BF">
        <w:rPr>
          <w:rFonts w:eastAsia="Times New Roman"/>
          <w:b/>
          <w:bCs/>
          <w:i/>
          <w:iCs/>
          <w:sz w:val="18"/>
          <w:szCs w:val="18"/>
          <w:lang w:eastAsia="en-US"/>
        </w:rPr>
        <w:t>Historical Data:</w:t>
      </w:r>
      <w:r>
        <w:rPr>
          <w:rFonts w:eastAsia="Times New Roman"/>
          <w:i/>
          <w:iCs/>
          <w:sz w:val="18"/>
          <w:szCs w:val="18"/>
          <w:lang w:eastAsia="en-US"/>
        </w:rPr>
        <w:t xml:space="preserve"> </w:t>
      </w:r>
      <w:r w:rsidRPr="00FF69BF">
        <w:rPr>
          <w:rFonts w:eastAsia="Times New Roman"/>
          <w:i/>
          <w:iCs/>
          <w:sz w:val="18"/>
          <w:szCs w:val="18"/>
          <w:lang w:eastAsia="en-US"/>
        </w:rPr>
        <w:t>This news release includes historical information that has been reviewed by the Company’s qualified person. The Company’s review of the historical records and information reasonably substantiate the validity of the information presented in this presentation. The Company encourages readers to exercise appropriate caution when evaluating these data and/or results.</w:t>
      </w:r>
    </w:p>
    <w:p w14:paraId="62BE09E8" w14:textId="77777777" w:rsidR="00430C5C" w:rsidRPr="00C14195" w:rsidRDefault="00430C5C" w:rsidP="00430C5C">
      <w:pPr>
        <w:rPr>
          <w:rFonts w:eastAsia="Times New Roman"/>
          <w:i/>
          <w:iCs/>
          <w:sz w:val="18"/>
          <w:szCs w:val="18"/>
          <w:lang w:eastAsia="en-US"/>
        </w:rPr>
      </w:pPr>
    </w:p>
    <w:p w14:paraId="2F8F013E" w14:textId="77777777" w:rsidR="00430C5C" w:rsidRPr="00247D79" w:rsidRDefault="00430C5C" w:rsidP="00430C5C">
      <w:pPr>
        <w:pStyle w:val="ListParagraph"/>
        <w:numPr>
          <w:ilvl w:val="0"/>
          <w:numId w:val="10"/>
        </w:numPr>
        <w:ind w:left="360"/>
        <w:jc w:val="both"/>
        <w:rPr>
          <w:rFonts w:eastAsia="Times New Roman"/>
          <w:i/>
          <w:iCs/>
          <w:sz w:val="18"/>
          <w:szCs w:val="18"/>
          <w:lang w:eastAsia="en-US"/>
        </w:rPr>
      </w:pPr>
      <w:r w:rsidRPr="002B2591">
        <w:rPr>
          <w:rFonts w:eastAsia="Times New Roman"/>
          <w:b/>
          <w:bCs/>
          <w:i/>
          <w:iCs/>
          <w:sz w:val="18"/>
          <w:szCs w:val="18"/>
          <w:lang w:eastAsia="en-US"/>
        </w:rPr>
        <w:t>Third-Party Mineral Projects</w:t>
      </w:r>
      <w:r w:rsidRPr="00247D79">
        <w:rPr>
          <w:rFonts w:eastAsia="Times New Roman"/>
          <w:i/>
          <w:iCs/>
          <w:sz w:val="18"/>
          <w:szCs w:val="18"/>
          <w:lang w:eastAsia="en-US"/>
        </w:rPr>
        <w:t xml:space="preserve">: These deposits are cited solely for geological context. The Company cautions that these properties are not </w:t>
      </w:r>
      <w:r>
        <w:rPr>
          <w:rFonts w:eastAsia="Times New Roman"/>
          <w:i/>
          <w:iCs/>
          <w:sz w:val="18"/>
          <w:szCs w:val="18"/>
          <w:lang w:eastAsia="en-US"/>
        </w:rPr>
        <w:t xml:space="preserve">necessarily </w:t>
      </w:r>
      <w:r w:rsidRPr="00247D79">
        <w:rPr>
          <w:rFonts w:eastAsia="Times New Roman"/>
          <w:i/>
          <w:iCs/>
          <w:sz w:val="18"/>
          <w:szCs w:val="18"/>
          <w:lang w:eastAsia="en-US"/>
        </w:rPr>
        <w:t xml:space="preserve">adjacent to, nor does the Company or have any interest in or control over them. Although certain geological features may be similar, there is no assurance that mineralization comparable to these deposits will be discovered on any of the Company’s properties. </w:t>
      </w:r>
      <w:r w:rsidRPr="00C7424D">
        <w:rPr>
          <w:rFonts w:eastAsia="Times New Roman"/>
          <w:i/>
          <w:iCs/>
          <w:sz w:val="18"/>
          <w:szCs w:val="18"/>
          <w:lang w:eastAsia="en-US"/>
        </w:rPr>
        <w:t xml:space="preserve">Information regarding the </w:t>
      </w:r>
      <w:proofErr w:type="gramStart"/>
      <w:r w:rsidRPr="00C7424D">
        <w:rPr>
          <w:rFonts w:eastAsia="Times New Roman"/>
          <w:i/>
          <w:iCs/>
          <w:sz w:val="18"/>
          <w:szCs w:val="18"/>
          <w:lang w:eastAsia="en-US"/>
        </w:rPr>
        <w:t>aforementioned deposits</w:t>
      </w:r>
      <w:proofErr w:type="gramEnd"/>
      <w:r w:rsidRPr="00C7424D">
        <w:rPr>
          <w:rFonts w:eastAsia="Times New Roman"/>
          <w:i/>
          <w:iCs/>
          <w:sz w:val="18"/>
          <w:szCs w:val="18"/>
          <w:lang w:eastAsia="en-US"/>
        </w:rPr>
        <w:t xml:space="preserve"> is taken from publicly available sources and technical reports believed to be </w:t>
      </w:r>
      <w:proofErr w:type="gramStart"/>
      <w:r w:rsidRPr="00C7424D">
        <w:rPr>
          <w:rFonts w:eastAsia="Times New Roman"/>
          <w:i/>
          <w:iCs/>
          <w:sz w:val="18"/>
          <w:szCs w:val="18"/>
          <w:lang w:eastAsia="en-US"/>
        </w:rPr>
        <w:t>reliable, but</w:t>
      </w:r>
      <w:proofErr w:type="gramEnd"/>
      <w:r w:rsidRPr="00C7424D">
        <w:rPr>
          <w:rFonts w:eastAsia="Times New Roman"/>
          <w:i/>
          <w:iCs/>
          <w:sz w:val="18"/>
          <w:szCs w:val="18"/>
          <w:lang w:eastAsia="en-US"/>
        </w:rPr>
        <w:t xml:space="preserve"> has not been independently verified by the Company.</w:t>
      </w:r>
      <w:r>
        <w:rPr>
          <w:rFonts w:eastAsia="Times New Roman"/>
          <w:i/>
          <w:iCs/>
          <w:sz w:val="18"/>
          <w:szCs w:val="18"/>
          <w:lang w:eastAsia="en-US"/>
        </w:rPr>
        <w:t xml:space="preserve"> </w:t>
      </w:r>
      <w:r w:rsidRPr="00FF69BF">
        <w:rPr>
          <w:rFonts w:eastAsia="Times New Roman"/>
          <w:i/>
          <w:iCs/>
          <w:sz w:val="18"/>
          <w:szCs w:val="18"/>
          <w:lang w:eastAsia="en-US"/>
        </w:rPr>
        <w:t>The Company encourages readers to exercise appropriate caution when evaluating these data and/or results.</w:t>
      </w:r>
    </w:p>
    <w:p w14:paraId="1C2F79F2" w14:textId="77777777" w:rsidR="00430C5C" w:rsidRPr="00EB1D51" w:rsidRDefault="00430C5C" w:rsidP="00430C5C">
      <w:pPr>
        <w:pStyle w:val="ListParagraph"/>
        <w:rPr>
          <w:rFonts w:eastAsia="Times New Roman"/>
          <w:b/>
          <w:bCs/>
          <w:i/>
          <w:iCs/>
          <w:sz w:val="18"/>
          <w:szCs w:val="18"/>
          <w:lang w:eastAsia="en-US"/>
        </w:rPr>
      </w:pPr>
    </w:p>
    <w:p w14:paraId="64660B42" w14:textId="77777777" w:rsidR="00430C5C" w:rsidRPr="00EB1D51" w:rsidRDefault="00430C5C" w:rsidP="00430C5C">
      <w:pPr>
        <w:pStyle w:val="ListParagraph"/>
        <w:numPr>
          <w:ilvl w:val="0"/>
          <w:numId w:val="10"/>
        </w:numPr>
        <w:spacing w:before="100" w:beforeAutospacing="1" w:after="100" w:afterAutospacing="1" w:line="240" w:lineRule="auto"/>
        <w:ind w:left="360"/>
        <w:jc w:val="both"/>
        <w:rPr>
          <w:rFonts w:eastAsia="Times New Roman"/>
          <w:i/>
          <w:iCs/>
          <w:sz w:val="18"/>
          <w:szCs w:val="18"/>
          <w:lang w:eastAsia="en-US"/>
        </w:rPr>
      </w:pPr>
      <w:r w:rsidRPr="00EB1D51">
        <w:rPr>
          <w:rFonts w:eastAsia="Times New Roman"/>
          <w:b/>
          <w:bCs/>
          <w:i/>
          <w:iCs/>
          <w:sz w:val="18"/>
          <w:szCs w:val="18"/>
          <w:lang w:eastAsia="en-US"/>
        </w:rPr>
        <w:t>Mineral Resource Estimate (MRE):</w:t>
      </w:r>
      <w:r w:rsidRPr="006B1CCE">
        <w:rPr>
          <w:rFonts w:eastAsia="Times New Roman"/>
          <w:i/>
          <w:iCs/>
          <w:sz w:val="18"/>
          <w:szCs w:val="18"/>
          <w:lang w:eastAsia="en-US"/>
        </w:rPr>
        <w:t xml:space="preserve"> All scientific and technical information relating to </w:t>
      </w:r>
      <w:r>
        <w:rPr>
          <w:rFonts w:eastAsia="Times New Roman"/>
          <w:i/>
          <w:iCs/>
          <w:sz w:val="18"/>
          <w:szCs w:val="18"/>
          <w:lang w:eastAsia="en-US"/>
        </w:rPr>
        <w:t>Manhattan</w:t>
      </w:r>
      <w:r w:rsidRPr="006B1CCE">
        <w:rPr>
          <w:rFonts w:eastAsia="Times New Roman"/>
          <w:i/>
          <w:iCs/>
          <w:sz w:val="18"/>
          <w:szCs w:val="18"/>
          <w:lang w:eastAsia="en-US"/>
        </w:rPr>
        <w:t xml:space="preserve"> pertaining to </w:t>
      </w:r>
      <w:r>
        <w:rPr>
          <w:rFonts w:eastAsia="Times New Roman"/>
          <w:i/>
          <w:iCs/>
          <w:sz w:val="18"/>
          <w:szCs w:val="18"/>
          <w:lang w:eastAsia="en-US"/>
        </w:rPr>
        <w:t>Maiden MRE</w:t>
      </w:r>
      <w:r w:rsidRPr="006B1CCE">
        <w:rPr>
          <w:rFonts w:eastAsia="Times New Roman"/>
          <w:i/>
          <w:iCs/>
          <w:sz w:val="18"/>
          <w:szCs w:val="18"/>
          <w:lang w:eastAsia="en-US"/>
        </w:rPr>
        <w:t xml:space="preserve"> contained in this news release is derived from the Technical Report dated </w:t>
      </w:r>
      <w:r>
        <w:rPr>
          <w:rFonts w:eastAsia="Times New Roman"/>
          <w:i/>
          <w:iCs/>
          <w:sz w:val="18"/>
          <w:szCs w:val="18"/>
          <w:lang w:eastAsia="en-US"/>
        </w:rPr>
        <w:t>October 23, 2025</w:t>
      </w:r>
      <w:r w:rsidRPr="006B1CCE">
        <w:rPr>
          <w:rFonts w:eastAsia="Times New Roman"/>
          <w:i/>
          <w:iCs/>
          <w:sz w:val="18"/>
          <w:szCs w:val="18"/>
          <w:lang w:eastAsia="en-US"/>
        </w:rPr>
        <w:t xml:space="preserve"> (with an effective date of </w:t>
      </w:r>
      <w:r>
        <w:rPr>
          <w:rFonts w:eastAsia="Times New Roman"/>
          <w:i/>
          <w:iCs/>
          <w:sz w:val="18"/>
          <w:szCs w:val="18"/>
          <w:lang w:eastAsia="en-US"/>
        </w:rPr>
        <w:t>June 4</w:t>
      </w:r>
      <w:r w:rsidRPr="006B1CCE">
        <w:rPr>
          <w:rFonts w:eastAsia="Times New Roman"/>
          <w:i/>
          <w:iCs/>
          <w:sz w:val="18"/>
          <w:szCs w:val="18"/>
          <w:lang w:eastAsia="en-US"/>
        </w:rPr>
        <w:t>, 2025) titled “</w:t>
      </w:r>
      <w:r>
        <w:rPr>
          <w:rFonts w:eastAsia="Times New Roman"/>
          <w:i/>
          <w:iCs/>
          <w:sz w:val="18"/>
          <w:szCs w:val="18"/>
          <w:lang w:eastAsia="en-US"/>
        </w:rPr>
        <w:t>Mineral Resource Estimate and NI 43-101 Technical Report</w:t>
      </w:r>
      <w:r w:rsidRPr="006B1CCE">
        <w:rPr>
          <w:rFonts w:eastAsia="Times New Roman"/>
          <w:i/>
          <w:iCs/>
          <w:sz w:val="18"/>
          <w:szCs w:val="18"/>
          <w:lang w:eastAsia="en-US"/>
        </w:rPr>
        <w:t>” (the “</w:t>
      </w:r>
      <w:r w:rsidRPr="00EB1D51">
        <w:rPr>
          <w:rFonts w:eastAsia="Times New Roman"/>
          <w:b/>
          <w:bCs/>
          <w:i/>
          <w:iCs/>
          <w:sz w:val="18"/>
          <w:szCs w:val="18"/>
          <w:lang w:eastAsia="en-US"/>
        </w:rPr>
        <w:t>Technical Report</w:t>
      </w:r>
      <w:r w:rsidRPr="006B1CCE">
        <w:rPr>
          <w:rFonts w:eastAsia="Times New Roman"/>
          <w:i/>
          <w:iCs/>
          <w:sz w:val="18"/>
          <w:szCs w:val="18"/>
          <w:lang w:eastAsia="en-US"/>
        </w:rPr>
        <w:t xml:space="preserve">”) prepared by </w:t>
      </w:r>
      <w:r w:rsidRPr="00EB1D51">
        <w:rPr>
          <w:rFonts w:eastAsia="Times New Roman"/>
          <w:i/>
          <w:iCs/>
          <w:sz w:val="18"/>
          <w:szCs w:val="18"/>
          <w:lang w:eastAsia="en-US"/>
        </w:rPr>
        <w:t xml:space="preserve">Matthew R. </w:t>
      </w:r>
      <w:proofErr w:type="spellStart"/>
      <w:r w:rsidRPr="00EB1D51">
        <w:rPr>
          <w:rFonts w:eastAsia="Times New Roman"/>
          <w:i/>
          <w:iCs/>
          <w:sz w:val="18"/>
          <w:szCs w:val="18"/>
          <w:lang w:eastAsia="en-US"/>
        </w:rPr>
        <w:t>Dumala</w:t>
      </w:r>
      <w:proofErr w:type="spellEnd"/>
      <w:r w:rsidRPr="00EB1D51">
        <w:rPr>
          <w:rFonts w:eastAsia="Times New Roman"/>
          <w:i/>
          <w:iCs/>
          <w:sz w:val="18"/>
          <w:szCs w:val="18"/>
          <w:lang w:eastAsia="en-US"/>
        </w:rPr>
        <w:t xml:space="preserve">, </w:t>
      </w:r>
      <w:proofErr w:type="spellStart"/>
      <w:r w:rsidRPr="00EB1D51">
        <w:rPr>
          <w:rFonts w:eastAsia="Times New Roman"/>
          <w:i/>
          <w:iCs/>
          <w:sz w:val="18"/>
          <w:szCs w:val="18"/>
          <w:lang w:eastAsia="en-US"/>
        </w:rPr>
        <w:t>P.Eng</w:t>
      </w:r>
      <w:proofErr w:type="spellEnd"/>
      <w:r w:rsidRPr="00EB1D51">
        <w:rPr>
          <w:rFonts w:eastAsia="Times New Roman"/>
          <w:i/>
          <w:iCs/>
          <w:sz w:val="18"/>
          <w:szCs w:val="18"/>
          <w:lang w:eastAsia="en-US"/>
        </w:rPr>
        <w:t xml:space="preserve"> (BC) of Archer Cathro Geological (US) Ltd., Patrick Loury, M.Sc., CPG (AIPG) of Daniel Kunz &amp; Associates, Annaliese Miller, LG (WA) of Geosyntec Consultants, Inc. and Art Ibrado, PhD, PE (AZ) of Fort Lowell Consulting PPLC</w:t>
      </w:r>
      <w:r w:rsidRPr="006B1CCE">
        <w:rPr>
          <w:rFonts w:eastAsia="Times New Roman"/>
          <w:i/>
          <w:iCs/>
          <w:sz w:val="18"/>
          <w:szCs w:val="18"/>
          <w:lang w:eastAsia="en-US"/>
        </w:rPr>
        <w:t xml:space="preserve">. The information contained herein in respect of the </w:t>
      </w:r>
      <w:r>
        <w:rPr>
          <w:rFonts w:eastAsia="Times New Roman"/>
          <w:i/>
          <w:iCs/>
          <w:sz w:val="18"/>
          <w:szCs w:val="18"/>
          <w:lang w:eastAsia="en-US"/>
        </w:rPr>
        <w:t>Maiden</w:t>
      </w:r>
      <w:r w:rsidRPr="006B1CCE">
        <w:rPr>
          <w:rFonts w:eastAsia="Times New Roman"/>
          <w:i/>
          <w:iCs/>
          <w:sz w:val="18"/>
          <w:szCs w:val="18"/>
          <w:lang w:eastAsia="en-US"/>
        </w:rPr>
        <w:t xml:space="preserve"> MRE is subject to all of the assumptions, qualifications and procedures set out in the Technical Report and reference should be made to the full text of the Technical Report, a copy of which has been filed with the applicable securities regulators and is available under </w:t>
      </w:r>
      <w:r>
        <w:rPr>
          <w:rFonts w:eastAsia="Times New Roman"/>
          <w:i/>
          <w:iCs/>
          <w:sz w:val="18"/>
          <w:szCs w:val="18"/>
          <w:lang w:eastAsia="en-US"/>
        </w:rPr>
        <w:t>the Company’s</w:t>
      </w:r>
      <w:r w:rsidRPr="006B1CCE">
        <w:rPr>
          <w:rFonts w:eastAsia="Times New Roman"/>
          <w:i/>
          <w:iCs/>
          <w:sz w:val="18"/>
          <w:szCs w:val="18"/>
          <w:lang w:eastAsia="en-US"/>
        </w:rPr>
        <w:t xml:space="preserve"> profile on www.sedarplus.ca.</w:t>
      </w:r>
    </w:p>
    <w:p w14:paraId="39CAD4B8" w14:textId="77777777" w:rsidR="00430C5C" w:rsidRPr="00EB1D51" w:rsidRDefault="00430C5C" w:rsidP="00430C5C">
      <w:pPr>
        <w:pStyle w:val="ListParagraph"/>
        <w:rPr>
          <w:rFonts w:eastAsia="Times New Roman"/>
          <w:b/>
          <w:bCs/>
          <w:i/>
          <w:iCs/>
          <w:sz w:val="18"/>
          <w:szCs w:val="18"/>
          <w:lang w:eastAsia="en-US"/>
        </w:rPr>
      </w:pPr>
    </w:p>
    <w:p w14:paraId="354F6658" w14:textId="77777777" w:rsidR="00430C5C" w:rsidRDefault="00430C5C" w:rsidP="00430C5C">
      <w:pPr>
        <w:pStyle w:val="ListParagraph"/>
        <w:numPr>
          <w:ilvl w:val="0"/>
          <w:numId w:val="10"/>
        </w:numPr>
        <w:spacing w:before="100" w:beforeAutospacing="1" w:after="100" w:afterAutospacing="1" w:line="240" w:lineRule="auto"/>
        <w:ind w:left="360"/>
        <w:jc w:val="both"/>
        <w:rPr>
          <w:rFonts w:eastAsia="Times New Roman"/>
          <w:i/>
          <w:iCs/>
          <w:sz w:val="18"/>
          <w:szCs w:val="18"/>
          <w:lang w:eastAsia="en-US"/>
        </w:rPr>
      </w:pPr>
      <w:r w:rsidRPr="00FF69BF">
        <w:rPr>
          <w:rFonts w:eastAsia="Times New Roman"/>
          <w:b/>
          <w:bCs/>
          <w:i/>
          <w:iCs/>
          <w:sz w:val="18"/>
          <w:szCs w:val="18"/>
          <w:lang w:eastAsia="en-US"/>
        </w:rPr>
        <w:t xml:space="preserve">Historical MRE: </w:t>
      </w:r>
      <w:r w:rsidRPr="00045F75">
        <w:rPr>
          <w:rFonts w:eastAsia="Times New Roman"/>
          <w:i/>
          <w:iCs/>
          <w:sz w:val="18"/>
          <w:szCs w:val="18"/>
          <w:lang w:eastAsia="en-US"/>
        </w:rPr>
        <w:t>A Qualified Person</w:t>
      </w:r>
      <w:r>
        <w:rPr>
          <w:rFonts w:eastAsia="Times New Roman"/>
          <w:i/>
          <w:iCs/>
          <w:sz w:val="18"/>
          <w:szCs w:val="18"/>
          <w:lang w:eastAsia="en-US"/>
        </w:rPr>
        <w:t xml:space="preserve"> </w:t>
      </w:r>
      <w:r w:rsidRPr="00045F75">
        <w:rPr>
          <w:rFonts w:eastAsia="Times New Roman"/>
          <w:i/>
          <w:iCs/>
          <w:sz w:val="18"/>
          <w:szCs w:val="18"/>
          <w:lang w:eastAsia="en-US"/>
        </w:rPr>
        <w:t xml:space="preserve">has not done sufficient work to make the Historical MRE current, and the Company is not treating the Historical MRE as current. </w:t>
      </w:r>
    </w:p>
    <w:p w14:paraId="42160D18" w14:textId="77777777" w:rsidR="00430C5C" w:rsidRPr="00B3230B" w:rsidRDefault="00430C5C" w:rsidP="00430C5C">
      <w:pPr>
        <w:pStyle w:val="ListParagraph"/>
        <w:rPr>
          <w:rFonts w:eastAsia="Times New Roman"/>
          <w:i/>
          <w:iCs/>
          <w:sz w:val="18"/>
          <w:szCs w:val="18"/>
          <w:lang w:eastAsia="en-US"/>
        </w:rPr>
      </w:pPr>
    </w:p>
    <w:p w14:paraId="6301245D" w14:textId="77777777" w:rsidR="00430C5C" w:rsidRDefault="00430C5C" w:rsidP="00430C5C">
      <w:pPr>
        <w:pStyle w:val="ListParagraph"/>
        <w:spacing w:before="100" w:beforeAutospacing="1" w:after="100" w:afterAutospacing="1" w:line="240" w:lineRule="auto"/>
        <w:ind w:left="360"/>
        <w:jc w:val="both"/>
        <w:rPr>
          <w:rFonts w:eastAsia="Times New Roman"/>
          <w:i/>
          <w:iCs/>
          <w:sz w:val="18"/>
          <w:szCs w:val="18"/>
          <w:lang w:eastAsia="en-US"/>
        </w:rPr>
      </w:pPr>
      <w:r w:rsidRPr="00FF69BF">
        <w:rPr>
          <w:rFonts w:eastAsia="Times New Roman"/>
          <w:i/>
          <w:iCs/>
          <w:sz w:val="18"/>
          <w:szCs w:val="18"/>
          <w:lang w:eastAsia="en-US"/>
        </w:rPr>
        <w:t xml:space="preserve">The Company considers </w:t>
      </w:r>
      <w:r>
        <w:rPr>
          <w:rFonts w:eastAsia="Times New Roman"/>
          <w:i/>
          <w:iCs/>
          <w:sz w:val="18"/>
          <w:szCs w:val="18"/>
          <w:lang w:eastAsia="en-US"/>
        </w:rPr>
        <w:t xml:space="preserve">the Historical MRE </w:t>
      </w:r>
      <w:r w:rsidRPr="00FF69BF">
        <w:rPr>
          <w:rFonts w:eastAsia="Times New Roman"/>
          <w:i/>
          <w:iCs/>
          <w:sz w:val="18"/>
          <w:szCs w:val="18"/>
          <w:lang w:eastAsia="en-US"/>
        </w:rPr>
        <w:t xml:space="preserve">relevant as it demonstrates the presence of significant gold mineralization across multiple zones within </w:t>
      </w:r>
      <w:r>
        <w:rPr>
          <w:rFonts w:eastAsia="Times New Roman"/>
          <w:i/>
          <w:iCs/>
          <w:sz w:val="18"/>
          <w:szCs w:val="18"/>
          <w:lang w:eastAsia="en-US"/>
        </w:rPr>
        <w:t>Manhattan</w:t>
      </w:r>
      <w:r w:rsidRPr="00FF69BF">
        <w:rPr>
          <w:rFonts w:eastAsia="Times New Roman"/>
          <w:i/>
          <w:iCs/>
          <w:sz w:val="18"/>
          <w:szCs w:val="18"/>
          <w:lang w:eastAsia="en-US"/>
        </w:rPr>
        <w:t xml:space="preserve">; however, its reliability is uncertain because it was prepared prior to the adoption of </w:t>
      </w:r>
      <w:r>
        <w:rPr>
          <w:rFonts w:eastAsia="Times New Roman"/>
          <w:i/>
          <w:iCs/>
          <w:sz w:val="18"/>
          <w:szCs w:val="18"/>
          <w:lang w:eastAsia="en-US"/>
        </w:rPr>
        <w:t xml:space="preserve">the </w:t>
      </w:r>
      <w:r w:rsidRPr="00FF69BF">
        <w:rPr>
          <w:rFonts w:eastAsia="Times New Roman"/>
          <w:i/>
          <w:iCs/>
          <w:sz w:val="18"/>
          <w:szCs w:val="18"/>
          <w:lang w:eastAsia="en-US"/>
        </w:rPr>
        <w:t xml:space="preserve">current CIM Definition Standards and </w:t>
      </w:r>
      <w:r>
        <w:rPr>
          <w:rFonts w:eastAsia="Times New Roman"/>
          <w:i/>
          <w:iCs/>
          <w:sz w:val="18"/>
          <w:szCs w:val="18"/>
          <w:lang w:eastAsia="en-US"/>
        </w:rPr>
        <w:t>current</w:t>
      </w:r>
      <w:r w:rsidRPr="00FF69BF">
        <w:rPr>
          <w:rFonts w:eastAsia="Times New Roman"/>
          <w:i/>
          <w:iCs/>
          <w:sz w:val="18"/>
          <w:szCs w:val="18"/>
          <w:lang w:eastAsia="en-US"/>
        </w:rPr>
        <w:t xml:space="preserve"> QA/QC practices. The </w:t>
      </w:r>
      <w:r>
        <w:rPr>
          <w:rFonts w:eastAsia="Times New Roman"/>
          <w:i/>
          <w:iCs/>
          <w:sz w:val="18"/>
          <w:szCs w:val="18"/>
          <w:lang w:eastAsia="en-US"/>
        </w:rPr>
        <w:t>Historical MRE</w:t>
      </w:r>
      <w:r w:rsidRPr="00FF69BF">
        <w:rPr>
          <w:rFonts w:eastAsia="Times New Roman"/>
          <w:i/>
          <w:iCs/>
          <w:sz w:val="18"/>
          <w:szCs w:val="18"/>
          <w:lang w:eastAsia="en-US"/>
        </w:rPr>
        <w:t xml:space="preserve"> provides limited disclosure of assumptions, parameters, estimation methods, cutoff grades, and QA/QC protocols, and therefore these cannot be fully verified by the Company. The categories used in the historical estimate predate, and are not directly comparable to, current CIM Definition Standards, and the Company is not treating the </w:t>
      </w:r>
      <w:r>
        <w:rPr>
          <w:rFonts w:eastAsia="Times New Roman"/>
          <w:i/>
          <w:iCs/>
          <w:sz w:val="18"/>
          <w:szCs w:val="18"/>
          <w:lang w:eastAsia="en-US"/>
        </w:rPr>
        <w:t>Historical MRE</w:t>
      </w:r>
      <w:r w:rsidRPr="00FF69BF">
        <w:rPr>
          <w:rFonts w:eastAsia="Times New Roman"/>
          <w:i/>
          <w:iCs/>
          <w:sz w:val="18"/>
          <w:szCs w:val="18"/>
          <w:lang w:eastAsia="en-US"/>
        </w:rPr>
        <w:t xml:space="preserve"> as a current </w:t>
      </w:r>
      <w:r>
        <w:rPr>
          <w:rFonts w:eastAsia="Times New Roman"/>
          <w:i/>
          <w:iCs/>
          <w:sz w:val="18"/>
          <w:szCs w:val="18"/>
          <w:lang w:eastAsia="en-US"/>
        </w:rPr>
        <w:t>M</w:t>
      </w:r>
      <w:r w:rsidRPr="00FF69BF">
        <w:rPr>
          <w:rFonts w:eastAsia="Times New Roman"/>
          <w:i/>
          <w:iCs/>
          <w:sz w:val="18"/>
          <w:szCs w:val="18"/>
          <w:lang w:eastAsia="en-US"/>
        </w:rPr>
        <w:t xml:space="preserve">ineral </w:t>
      </w:r>
      <w:r>
        <w:rPr>
          <w:rFonts w:eastAsia="Times New Roman"/>
          <w:i/>
          <w:iCs/>
          <w:sz w:val="18"/>
          <w:szCs w:val="18"/>
          <w:lang w:eastAsia="en-US"/>
        </w:rPr>
        <w:t>R</w:t>
      </w:r>
      <w:r w:rsidRPr="00FF69BF">
        <w:rPr>
          <w:rFonts w:eastAsia="Times New Roman"/>
          <w:i/>
          <w:iCs/>
          <w:sz w:val="18"/>
          <w:szCs w:val="18"/>
          <w:lang w:eastAsia="en-US"/>
        </w:rPr>
        <w:t>esource</w:t>
      </w:r>
      <w:r>
        <w:rPr>
          <w:rFonts w:eastAsia="Times New Roman"/>
          <w:i/>
          <w:iCs/>
          <w:sz w:val="18"/>
          <w:szCs w:val="18"/>
          <w:lang w:eastAsia="en-US"/>
        </w:rPr>
        <w:t xml:space="preserve"> Estimate</w:t>
      </w:r>
      <w:r w:rsidRPr="00FF69BF">
        <w:rPr>
          <w:rFonts w:eastAsia="Times New Roman"/>
          <w:i/>
          <w:iCs/>
          <w:sz w:val="18"/>
          <w:szCs w:val="18"/>
          <w:lang w:eastAsia="en-US"/>
        </w:rPr>
        <w:t>.</w:t>
      </w:r>
      <w:r>
        <w:rPr>
          <w:rFonts w:eastAsia="Times New Roman"/>
          <w:i/>
          <w:iCs/>
          <w:sz w:val="18"/>
          <w:szCs w:val="18"/>
          <w:lang w:eastAsia="en-US"/>
        </w:rPr>
        <w:t xml:space="preserve"> </w:t>
      </w:r>
      <w:r w:rsidRPr="00C14195">
        <w:rPr>
          <w:rFonts w:eastAsia="Times New Roman"/>
          <w:i/>
          <w:iCs/>
          <w:sz w:val="18"/>
          <w:szCs w:val="18"/>
          <w:lang w:eastAsia="en-US"/>
        </w:rPr>
        <w:t xml:space="preserve">To upgrade and verify the Historical MRE </w:t>
      </w:r>
      <w:proofErr w:type="gramStart"/>
      <w:r>
        <w:rPr>
          <w:rFonts w:eastAsia="Times New Roman"/>
          <w:i/>
          <w:iCs/>
          <w:sz w:val="18"/>
          <w:szCs w:val="18"/>
          <w:lang w:eastAsia="en-US"/>
        </w:rPr>
        <w:t xml:space="preserve">in order </w:t>
      </w:r>
      <w:r w:rsidRPr="00C14195">
        <w:rPr>
          <w:rFonts w:eastAsia="Times New Roman"/>
          <w:i/>
          <w:iCs/>
          <w:sz w:val="18"/>
          <w:szCs w:val="18"/>
          <w:lang w:eastAsia="en-US"/>
        </w:rPr>
        <w:t>to</w:t>
      </w:r>
      <w:proofErr w:type="gramEnd"/>
      <w:r w:rsidRPr="00C14195">
        <w:rPr>
          <w:rFonts w:eastAsia="Times New Roman"/>
          <w:i/>
          <w:iCs/>
          <w:sz w:val="18"/>
          <w:szCs w:val="18"/>
          <w:lang w:eastAsia="en-US"/>
        </w:rPr>
        <w:t xml:space="preserve"> </w:t>
      </w:r>
      <w:r>
        <w:rPr>
          <w:rFonts w:eastAsia="Times New Roman"/>
          <w:i/>
          <w:iCs/>
          <w:sz w:val="18"/>
          <w:szCs w:val="18"/>
          <w:lang w:eastAsia="en-US"/>
        </w:rPr>
        <w:t xml:space="preserve">make it </w:t>
      </w:r>
      <w:r w:rsidRPr="00C14195">
        <w:rPr>
          <w:rFonts w:eastAsia="Times New Roman"/>
          <w:i/>
          <w:iCs/>
          <w:sz w:val="18"/>
          <w:szCs w:val="18"/>
          <w:lang w:eastAsia="en-US"/>
        </w:rPr>
        <w:t xml:space="preserve">a current </w:t>
      </w:r>
      <w:r>
        <w:rPr>
          <w:rFonts w:eastAsia="Times New Roman"/>
          <w:i/>
          <w:iCs/>
          <w:sz w:val="18"/>
          <w:szCs w:val="18"/>
          <w:lang w:eastAsia="en-US"/>
        </w:rPr>
        <w:t>M</w:t>
      </w:r>
      <w:r w:rsidRPr="00C14195">
        <w:rPr>
          <w:rFonts w:eastAsia="Times New Roman"/>
          <w:i/>
          <w:iCs/>
          <w:sz w:val="18"/>
          <w:szCs w:val="18"/>
          <w:lang w:eastAsia="en-US"/>
        </w:rPr>
        <w:t xml:space="preserve">ineral </w:t>
      </w:r>
      <w:r>
        <w:rPr>
          <w:rFonts w:eastAsia="Times New Roman"/>
          <w:i/>
          <w:iCs/>
          <w:sz w:val="18"/>
          <w:szCs w:val="18"/>
          <w:lang w:eastAsia="en-US"/>
        </w:rPr>
        <w:t>R</w:t>
      </w:r>
      <w:r w:rsidRPr="00C14195">
        <w:rPr>
          <w:rFonts w:eastAsia="Times New Roman"/>
          <w:i/>
          <w:iCs/>
          <w:sz w:val="18"/>
          <w:szCs w:val="18"/>
          <w:lang w:eastAsia="en-US"/>
        </w:rPr>
        <w:t>esource</w:t>
      </w:r>
      <w:r>
        <w:rPr>
          <w:rFonts w:eastAsia="Times New Roman"/>
          <w:i/>
          <w:iCs/>
          <w:sz w:val="18"/>
          <w:szCs w:val="18"/>
          <w:lang w:eastAsia="en-US"/>
        </w:rPr>
        <w:t xml:space="preserve"> Estimate</w:t>
      </w:r>
      <w:r w:rsidRPr="00C14195">
        <w:rPr>
          <w:rFonts w:eastAsia="Times New Roman"/>
          <w:i/>
          <w:iCs/>
          <w:sz w:val="18"/>
          <w:szCs w:val="18"/>
          <w:lang w:eastAsia="en-US"/>
        </w:rPr>
        <w:t>, the Company would be required to undertake confirmatory drilling, modern QA/QC sampling, validation and digitization of historical datasets and updated geological modeling followed by</w:t>
      </w:r>
      <w:r>
        <w:rPr>
          <w:rFonts w:eastAsia="Times New Roman"/>
          <w:i/>
          <w:iCs/>
          <w:sz w:val="18"/>
          <w:szCs w:val="18"/>
          <w:lang w:eastAsia="en-US"/>
        </w:rPr>
        <w:t xml:space="preserve"> </w:t>
      </w:r>
      <w:proofErr w:type="gramStart"/>
      <w:r>
        <w:rPr>
          <w:rFonts w:eastAsia="Times New Roman"/>
          <w:i/>
          <w:iCs/>
          <w:sz w:val="18"/>
          <w:szCs w:val="18"/>
          <w:lang w:eastAsia="en-US"/>
        </w:rPr>
        <w:t xml:space="preserve">the </w:t>
      </w:r>
      <w:r w:rsidRPr="00C14195">
        <w:rPr>
          <w:rFonts w:eastAsia="Times New Roman"/>
          <w:i/>
          <w:iCs/>
          <w:sz w:val="18"/>
          <w:szCs w:val="18"/>
          <w:lang w:eastAsia="en-US"/>
        </w:rPr>
        <w:t xml:space="preserve"> preparation</w:t>
      </w:r>
      <w:proofErr w:type="gramEnd"/>
      <w:r w:rsidRPr="00C14195">
        <w:rPr>
          <w:rFonts w:eastAsia="Times New Roman"/>
          <w:i/>
          <w:iCs/>
          <w:sz w:val="18"/>
          <w:szCs w:val="18"/>
          <w:lang w:eastAsia="en-US"/>
        </w:rPr>
        <w:t xml:space="preserve"> of a new </w:t>
      </w:r>
      <w:r>
        <w:rPr>
          <w:rFonts w:eastAsia="Times New Roman"/>
          <w:i/>
          <w:iCs/>
          <w:sz w:val="18"/>
          <w:szCs w:val="18"/>
          <w:lang w:eastAsia="en-US"/>
        </w:rPr>
        <w:t>Mineral Re</w:t>
      </w:r>
      <w:r w:rsidRPr="00C14195">
        <w:rPr>
          <w:rFonts w:eastAsia="Times New Roman"/>
          <w:i/>
          <w:iCs/>
          <w:sz w:val="18"/>
          <w:szCs w:val="18"/>
          <w:lang w:eastAsia="en-US"/>
        </w:rPr>
        <w:t xml:space="preserve">source </w:t>
      </w:r>
      <w:r>
        <w:rPr>
          <w:rFonts w:eastAsia="Times New Roman"/>
          <w:i/>
          <w:iCs/>
          <w:sz w:val="18"/>
          <w:szCs w:val="18"/>
          <w:lang w:eastAsia="en-US"/>
        </w:rPr>
        <w:t>E</w:t>
      </w:r>
      <w:r w:rsidRPr="00C14195">
        <w:rPr>
          <w:rFonts w:eastAsia="Times New Roman"/>
          <w:i/>
          <w:iCs/>
          <w:sz w:val="18"/>
          <w:szCs w:val="18"/>
          <w:lang w:eastAsia="en-US"/>
        </w:rPr>
        <w:t xml:space="preserve">stimate in accordance with CIM Definition Standards and </w:t>
      </w:r>
      <w:r>
        <w:rPr>
          <w:rFonts w:eastAsia="Times New Roman"/>
          <w:i/>
          <w:iCs/>
          <w:sz w:val="18"/>
          <w:szCs w:val="18"/>
          <w:lang w:eastAsia="en-US"/>
        </w:rPr>
        <w:t>NI 43-101</w:t>
      </w:r>
      <w:r w:rsidRPr="00C14195">
        <w:rPr>
          <w:rFonts w:eastAsia="Times New Roman"/>
          <w:i/>
          <w:iCs/>
          <w:sz w:val="18"/>
          <w:szCs w:val="18"/>
          <w:lang w:eastAsia="en-US"/>
        </w:rPr>
        <w:t>.</w:t>
      </w:r>
      <w:r>
        <w:rPr>
          <w:rFonts w:eastAsia="Times New Roman"/>
          <w:i/>
          <w:iCs/>
          <w:sz w:val="18"/>
          <w:szCs w:val="18"/>
          <w:lang w:eastAsia="en-US"/>
        </w:rPr>
        <w:t xml:space="preserve"> </w:t>
      </w:r>
      <w:r w:rsidRPr="00FF69BF">
        <w:rPr>
          <w:rFonts w:eastAsia="Times New Roman"/>
          <w:i/>
          <w:iCs/>
          <w:sz w:val="18"/>
          <w:szCs w:val="18"/>
          <w:lang w:eastAsia="en-US"/>
        </w:rPr>
        <w:t>The Company encourages readers to exercise appropriate caution when evaluating</w:t>
      </w:r>
      <w:r>
        <w:rPr>
          <w:rFonts w:eastAsia="Times New Roman"/>
          <w:i/>
          <w:iCs/>
          <w:sz w:val="18"/>
          <w:szCs w:val="18"/>
          <w:lang w:eastAsia="en-US"/>
        </w:rPr>
        <w:t xml:space="preserve"> the Historical MRE</w:t>
      </w:r>
      <w:r w:rsidRPr="00FF69BF">
        <w:rPr>
          <w:rFonts w:eastAsia="Times New Roman"/>
          <w:i/>
          <w:iCs/>
          <w:sz w:val="18"/>
          <w:szCs w:val="18"/>
          <w:lang w:eastAsia="en-US"/>
        </w:rPr>
        <w:t>.</w:t>
      </w:r>
    </w:p>
    <w:p w14:paraId="3DDCEB09" w14:textId="77777777" w:rsidR="00430C5C" w:rsidRDefault="00430C5C" w:rsidP="00430C5C">
      <w:pPr>
        <w:pStyle w:val="ListParagraph"/>
        <w:spacing w:before="100" w:beforeAutospacing="1" w:after="100" w:afterAutospacing="1" w:line="240" w:lineRule="auto"/>
        <w:ind w:left="360"/>
        <w:jc w:val="both"/>
        <w:rPr>
          <w:rFonts w:eastAsia="Times New Roman"/>
          <w:i/>
          <w:iCs/>
          <w:sz w:val="18"/>
          <w:szCs w:val="18"/>
          <w:lang w:eastAsia="en-US"/>
        </w:rPr>
      </w:pPr>
    </w:p>
    <w:p w14:paraId="5F319DA5" w14:textId="77777777" w:rsidR="00430C5C" w:rsidRDefault="00430C5C" w:rsidP="00430C5C">
      <w:pPr>
        <w:pStyle w:val="ListParagraph"/>
        <w:spacing w:before="100" w:beforeAutospacing="1" w:after="100" w:afterAutospacing="1" w:line="240" w:lineRule="auto"/>
        <w:ind w:left="360"/>
        <w:jc w:val="both"/>
        <w:rPr>
          <w:rFonts w:eastAsia="Times New Roman"/>
          <w:i/>
          <w:iCs/>
          <w:sz w:val="18"/>
          <w:szCs w:val="18"/>
          <w:lang w:eastAsia="en-US"/>
        </w:rPr>
      </w:pPr>
      <w:r w:rsidRPr="00756D8F">
        <w:rPr>
          <w:rFonts w:eastAsia="Times New Roman"/>
          <w:i/>
          <w:iCs/>
          <w:sz w:val="18"/>
          <w:szCs w:val="18"/>
          <w:lang w:eastAsia="en-US"/>
        </w:rPr>
        <w:t xml:space="preserve">All scientific and technical information relating to Manhattan pertaining to the Historical MRE contained in this news release is derived from the Technical Report dated </w:t>
      </w:r>
      <w:r>
        <w:rPr>
          <w:rFonts w:eastAsia="Times New Roman"/>
          <w:i/>
          <w:iCs/>
          <w:sz w:val="18"/>
          <w:szCs w:val="18"/>
          <w:lang w:eastAsia="en-US"/>
        </w:rPr>
        <w:t>May 1997</w:t>
      </w:r>
      <w:r w:rsidRPr="00756D8F">
        <w:rPr>
          <w:rFonts w:eastAsia="Times New Roman"/>
          <w:i/>
          <w:iCs/>
          <w:sz w:val="18"/>
          <w:szCs w:val="18"/>
          <w:lang w:eastAsia="en-US"/>
        </w:rPr>
        <w:t xml:space="preserve"> titled “</w:t>
      </w:r>
      <w:r w:rsidRPr="00756D8F">
        <w:rPr>
          <w:i/>
          <w:iCs/>
          <w:sz w:val="18"/>
          <w:szCs w:val="18"/>
        </w:rPr>
        <w:t>Exploration and Pre-Production Mine Development, Manhattan District Project, Nye County</w:t>
      </w:r>
      <w:r w:rsidRPr="00756D8F">
        <w:rPr>
          <w:rFonts w:eastAsia="Times New Roman"/>
          <w:i/>
          <w:iCs/>
          <w:sz w:val="18"/>
          <w:szCs w:val="18"/>
          <w:lang w:eastAsia="en-US"/>
        </w:rPr>
        <w:t>” (the “</w:t>
      </w:r>
      <w:r w:rsidRPr="00756D8F">
        <w:rPr>
          <w:rFonts w:eastAsia="Times New Roman"/>
          <w:b/>
          <w:bCs/>
          <w:i/>
          <w:iCs/>
          <w:sz w:val="18"/>
          <w:szCs w:val="18"/>
          <w:lang w:eastAsia="en-US"/>
        </w:rPr>
        <w:t>Historical Technical Report</w:t>
      </w:r>
      <w:r w:rsidRPr="00756D8F">
        <w:rPr>
          <w:rFonts w:eastAsia="Times New Roman"/>
          <w:i/>
          <w:iCs/>
          <w:sz w:val="18"/>
          <w:szCs w:val="18"/>
          <w:lang w:eastAsia="en-US"/>
        </w:rPr>
        <w:t xml:space="preserve">”) prepared by </w:t>
      </w:r>
      <w:r>
        <w:rPr>
          <w:rFonts w:eastAsia="Times New Roman"/>
          <w:i/>
          <w:iCs/>
          <w:sz w:val="18"/>
          <w:szCs w:val="18"/>
          <w:lang w:eastAsia="en-US"/>
        </w:rPr>
        <w:t xml:space="preserve">New Concept Mining, </w:t>
      </w:r>
      <w:proofErr w:type="gramStart"/>
      <w:r>
        <w:rPr>
          <w:rFonts w:eastAsia="Times New Roman"/>
          <w:i/>
          <w:iCs/>
          <w:sz w:val="18"/>
          <w:szCs w:val="18"/>
          <w:lang w:eastAsia="en-US"/>
        </w:rPr>
        <w:t>Inc.</w:t>
      </w:r>
      <w:r w:rsidRPr="00756D8F">
        <w:rPr>
          <w:rFonts w:eastAsia="Times New Roman"/>
          <w:i/>
          <w:iCs/>
          <w:sz w:val="18"/>
          <w:szCs w:val="18"/>
          <w:lang w:eastAsia="en-US"/>
        </w:rPr>
        <w:t>.</w:t>
      </w:r>
      <w:proofErr w:type="gramEnd"/>
      <w:r w:rsidRPr="00756D8F">
        <w:rPr>
          <w:rFonts w:eastAsia="Times New Roman"/>
          <w:i/>
          <w:iCs/>
          <w:sz w:val="18"/>
          <w:szCs w:val="18"/>
          <w:lang w:eastAsia="en-US"/>
        </w:rPr>
        <w:t xml:space="preserve"> The information contained herein in respect of the Historical MRE is subject to </w:t>
      </w:r>
      <w:proofErr w:type="gramStart"/>
      <w:r w:rsidRPr="00756D8F">
        <w:rPr>
          <w:rFonts w:eastAsia="Times New Roman"/>
          <w:i/>
          <w:iCs/>
          <w:sz w:val="18"/>
          <w:szCs w:val="18"/>
          <w:lang w:eastAsia="en-US"/>
        </w:rPr>
        <w:t>all of</w:t>
      </w:r>
      <w:proofErr w:type="gramEnd"/>
      <w:r w:rsidRPr="00756D8F">
        <w:rPr>
          <w:rFonts w:eastAsia="Times New Roman"/>
          <w:i/>
          <w:iCs/>
          <w:sz w:val="18"/>
          <w:szCs w:val="18"/>
          <w:lang w:eastAsia="en-US"/>
        </w:rPr>
        <w:t xml:space="preserve"> the assumptions, qualifications and procedures set out in the Historical Technical Report and reference should be made to the full text of the Historical Technical Report</w:t>
      </w:r>
      <w:r>
        <w:rPr>
          <w:rFonts w:eastAsia="Times New Roman"/>
          <w:i/>
          <w:iCs/>
          <w:sz w:val="18"/>
          <w:szCs w:val="18"/>
          <w:lang w:eastAsia="en-US"/>
        </w:rPr>
        <w:t>.</w:t>
      </w:r>
    </w:p>
    <w:p w14:paraId="0D79B9EE" w14:textId="77777777" w:rsidR="00430C5C" w:rsidRPr="00C14195" w:rsidRDefault="00430C5C" w:rsidP="00430C5C">
      <w:pPr>
        <w:pStyle w:val="ListParagraph"/>
        <w:spacing w:before="100" w:beforeAutospacing="1" w:after="100" w:afterAutospacing="1" w:line="240" w:lineRule="auto"/>
        <w:jc w:val="both"/>
        <w:rPr>
          <w:rFonts w:eastAsia="Times New Roman"/>
          <w:i/>
          <w:iCs/>
          <w:sz w:val="18"/>
          <w:szCs w:val="18"/>
          <w:lang w:eastAsia="en-US"/>
        </w:rPr>
      </w:pPr>
    </w:p>
    <w:p w14:paraId="11DEA406" w14:textId="77777777" w:rsidR="00430C5C" w:rsidRPr="007B16CB" w:rsidRDefault="00430C5C" w:rsidP="00430C5C">
      <w:pPr>
        <w:pStyle w:val="ListParagraph"/>
        <w:numPr>
          <w:ilvl w:val="0"/>
          <w:numId w:val="10"/>
        </w:numPr>
        <w:spacing w:line="240" w:lineRule="auto"/>
        <w:ind w:left="360"/>
        <w:jc w:val="both"/>
        <w:rPr>
          <w:sz w:val="18"/>
          <w:szCs w:val="18"/>
        </w:rPr>
      </w:pPr>
      <w:r w:rsidRPr="009D1003">
        <w:rPr>
          <w:b/>
          <w:bCs/>
          <w:i/>
          <w:iCs/>
          <w:sz w:val="18"/>
          <w:szCs w:val="18"/>
        </w:rPr>
        <w:t>References</w:t>
      </w:r>
      <w:r w:rsidRPr="009D1003">
        <w:rPr>
          <w:i/>
          <w:iCs/>
          <w:sz w:val="18"/>
          <w:szCs w:val="18"/>
        </w:rPr>
        <w:t xml:space="preserve">: (1) Strachan, D. G., and Master, T. D., 2005: Update and Revision of the Gold Wedge Project Development, Nye County. Report prepared for Nevada; Royal Standard Minerals, Inc. and dated March 31, 2005; (2) </w:t>
      </w:r>
      <w:proofErr w:type="spellStart"/>
      <w:r w:rsidRPr="009D1003">
        <w:rPr>
          <w:i/>
          <w:iCs/>
          <w:sz w:val="18"/>
          <w:szCs w:val="18"/>
        </w:rPr>
        <w:t>Dumlala</w:t>
      </w:r>
      <w:proofErr w:type="spellEnd"/>
      <w:r w:rsidRPr="009D1003">
        <w:rPr>
          <w:i/>
          <w:iCs/>
          <w:sz w:val="18"/>
          <w:szCs w:val="18"/>
        </w:rPr>
        <w:t>, M. R., and Lowry, P., 2025:</w:t>
      </w:r>
      <w:r w:rsidRPr="009D1003">
        <w:rPr>
          <w:i/>
          <w:iCs/>
          <w:sz w:val="18"/>
          <w:szCs w:val="18"/>
          <w:lang w:val="en-US"/>
        </w:rPr>
        <w:t xml:space="preserve"> Mineral Resource Estimate and NI 43-101 Technical Report, Manhattan </w:t>
      </w:r>
      <w:r w:rsidRPr="00DF4C4C">
        <w:rPr>
          <w:i/>
          <w:iCs/>
          <w:sz w:val="18"/>
          <w:szCs w:val="18"/>
          <w:lang w:val="en-US"/>
        </w:rPr>
        <w:t xml:space="preserve">Property, Nye County, Nevada. Report prepared for Scorpio Gold Corporation and dated October 23, 2025 (with </w:t>
      </w:r>
      <w:r w:rsidRPr="00756D8F">
        <w:rPr>
          <w:i/>
          <w:iCs/>
          <w:sz w:val="18"/>
          <w:szCs w:val="18"/>
          <w:lang w:val="en-US"/>
        </w:rPr>
        <w:t xml:space="preserve">an effective date of June 4, 2025); and (3) </w:t>
      </w:r>
      <w:r w:rsidRPr="00756D8F">
        <w:rPr>
          <w:i/>
          <w:iCs/>
          <w:sz w:val="18"/>
          <w:szCs w:val="18"/>
        </w:rPr>
        <w:t>Berry, A., and Willard, P., 1997: "Exploration and Pre-Production Mine Development, Manhattan District Project, Nye County". Report prepared for New Concept Mining, Inc. and</w:t>
      </w:r>
      <w:r w:rsidRPr="00756D8F" w:rsidDel="00FF69BF">
        <w:rPr>
          <w:i/>
          <w:iCs/>
          <w:sz w:val="18"/>
          <w:szCs w:val="18"/>
        </w:rPr>
        <w:t xml:space="preserve"> </w:t>
      </w:r>
      <w:r w:rsidRPr="00756D8F">
        <w:rPr>
          <w:i/>
          <w:iCs/>
          <w:sz w:val="18"/>
          <w:szCs w:val="18"/>
        </w:rPr>
        <w:t xml:space="preserve">dated </w:t>
      </w:r>
      <w:r>
        <w:rPr>
          <w:i/>
          <w:iCs/>
          <w:sz w:val="18"/>
          <w:szCs w:val="18"/>
        </w:rPr>
        <w:t>May 1997</w:t>
      </w:r>
      <w:r w:rsidRPr="00756D8F">
        <w:rPr>
          <w:i/>
          <w:iCs/>
          <w:sz w:val="18"/>
          <w:szCs w:val="18"/>
        </w:rPr>
        <w:t>.</w:t>
      </w:r>
      <w:r w:rsidRPr="00DF4C4C">
        <w:rPr>
          <w:i/>
          <w:iCs/>
          <w:sz w:val="18"/>
          <w:szCs w:val="18"/>
        </w:rPr>
        <w:t xml:space="preserve"> </w:t>
      </w:r>
    </w:p>
    <w:p w14:paraId="4A3EEBEE" w14:textId="18F57821" w:rsidR="15A9E5EE" w:rsidRDefault="15A9E5EE" w:rsidP="15A9E5EE">
      <w:pPr>
        <w:pBdr>
          <w:top w:val="nil"/>
          <w:left w:val="nil"/>
          <w:bottom w:val="nil"/>
          <w:right w:val="nil"/>
          <w:between w:val="nil"/>
        </w:pBdr>
        <w:shd w:val="clear" w:color="auto" w:fill="FFFFFF" w:themeFill="background1"/>
        <w:spacing w:before="300" w:line="240" w:lineRule="auto"/>
        <w:contextualSpacing/>
        <w:jc w:val="both"/>
        <w:rPr>
          <w:color w:val="000000" w:themeColor="text1"/>
        </w:rPr>
        <w:sectPr w:rsidR="15A9E5EE" w:rsidSect="003D5876">
          <w:footerReference w:type="default" r:id="rId13"/>
          <w:pgSz w:w="12240" w:h="15840"/>
          <w:pgMar w:top="720" w:right="720" w:bottom="720" w:left="720" w:header="720" w:footer="180" w:gutter="0"/>
          <w:pgNumType w:start="1"/>
          <w:cols w:space="720"/>
          <w:docGrid w:linePitch="299"/>
        </w:sectPr>
      </w:pPr>
    </w:p>
    <w:p w14:paraId="1529F158" w14:textId="77777777" w:rsidR="00325581" w:rsidRDefault="004E3855" w:rsidP="00FE04B6">
      <w:pPr>
        <w:keepNext/>
        <w:keepLines/>
        <w:pBdr>
          <w:top w:val="nil"/>
          <w:left w:val="nil"/>
          <w:bottom w:val="nil"/>
          <w:right w:val="nil"/>
          <w:between w:val="nil"/>
        </w:pBdr>
        <w:shd w:val="clear" w:color="auto" w:fill="FFFFFF"/>
        <w:spacing w:before="300" w:after="300" w:line="240" w:lineRule="auto"/>
        <w:ind w:left="-709"/>
        <w:rPr>
          <w:color w:val="000000"/>
        </w:rPr>
      </w:pPr>
      <w:r>
        <w:rPr>
          <w:b/>
          <w:color w:val="000000"/>
        </w:rPr>
        <w:lastRenderedPageBreak/>
        <w:t>ON BEHALF OF THE BOARD OF SCORPIO GOLD CORPORATION</w:t>
      </w:r>
    </w:p>
    <w:p w14:paraId="16C1475E" w14:textId="72B639DF" w:rsidR="00325581" w:rsidRDefault="15A9E5EE" w:rsidP="15A9E5EE">
      <w:pPr>
        <w:keepNext/>
        <w:keepLines/>
        <w:pBdr>
          <w:top w:val="nil"/>
          <w:left w:val="nil"/>
          <w:bottom w:val="nil"/>
          <w:right w:val="nil"/>
          <w:between w:val="nil"/>
        </w:pBdr>
        <w:shd w:val="clear" w:color="auto" w:fill="FFFFFF" w:themeFill="background1"/>
        <w:spacing w:before="300" w:after="300" w:line="240" w:lineRule="auto"/>
        <w:ind w:left="-709"/>
        <w:rPr>
          <w:b/>
          <w:bCs/>
          <w:color w:val="000000"/>
        </w:rPr>
      </w:pPr>
      <w:r w:rsidRPr="15A9E5EE">
        <w:rPr>
          <w:b/>
          <w:bCs/>
          <w:color w:val="000000" w:themeColor="text1"/>
        </w:rPr>
        <w:t>Zayn Kalyan, Chief Executive Officer and Director</w:t>
      </w:r>
      <w:r w:rsidR="004E3855">
        <w:br/>
      </w:r>
      <w:r w:rsidRPr="15A9E5EE">
        <w:rPr>
          <w:color w:val="000000" w:themeColor="text1"/>
        </w:rPr>
        <w:t>Tel: (604)-252-2672</w:t>
      </w:r>
      <w:r w:rsidR="004E3855">
        <w:br/>
      </w:r>
      <w:r w:rsidRPr="15A9E5EE">
        <w:rPr>
          <w:color w:val="000000" w:themeColor="text1"/>
        </w:rPr>
        <w:t xml:space="preserve">Email: </w:t>
      </w:r>
      <w:r w:rsidRPr="15A9E5EE">
        <w:rPr>
          <w:color w:val="000000" w:themeColor="text1"/>
          <w:u w:val="single"/>
        </w:rPr>
        <w:t>zayn@scorpiogold.com</w:t>
      </w:r>
      <w:r w:rsidRPr="15A9E5EE">
        <w:rPr>
          <w:b/>
          <w:bCs/>
          <w:color w:val="000000" w:themeColor="text1"/>
        </w:rPr>
        <w:t>  </w:t>
      </w:r>
    </w:p>
    <w:p w14:paraId="17E132E3" w14:textId="7F9C745E" w:rsidR="004B68D2" w:rsidRPr="004B68D2" w:rsidRDefault="004B68D2" w:rsidP="004B68D2">
      <w:pPr>
        <w:keepNext/>
        <w:keepLines/>
        <w:pBdr>
          <w:top w:val="nil"/>
          <w:left w:val="nil"/>
          <w:bottom w:val="nil"/>
          <w:right w:val="nil"/>
          <w:between w:val="nil"/>
        </w:pBdr>
        <w:shd w:val="clear" w:color="auto" w:fill="FFFFFF"/>
        <w:spacing w:before="300" w:after="300" w:line="240" w:lineRule="auto"/>
        <w:ind w:left="-709"/>
        <w:rPr>
          <w:color w:val="000000"/>
        </w:rPr>
      </w:pPr>
      <w:r>
        <w:rPr>
          <w:b/>
          <w:bCs/>
          <w:color w:val="000000"/>
        </w:rPr>
        <w:t>Investor Relations Contact:</w:t>
      </w:r>
      <w:r>
        <w:rPr>
          <w:color w:val="000000"/>
        </w:rPr>
        <w:br/>
        <w:t>Kin Communications Inc.</w:t>
      </w:r>
      <w:r>
        <w:rPr>
          <w:color w:val="000000"/>
        </w:rPr>
        <w:br/>
        <w:t>Tel: (604) 684-6730</w:t>
      </w:r>
      <w:r>
        <w:rPr>
          <w:color w:val="000000"/>
        </w:rPr>
        <w:br/>
        <w:t xml:space="preserve">Email: </w:t>
      </w:r>
      <w:hyperlink r:id="rId14" w:history="1">
        <w:r w:rsidRPr="0068197E">
          <w:rPr>
            <w:rStyle w:val="Hyperlink"/>
          </w:rPr>
          <w:t>SGN@kincommunications.com</w:t>
        </w:r>
      </w:hyperlink>
    </w:p>
    <w:p w14:paraId="73D7CA40" w14:textId="2EA0385D" w:rsidR="003F65E6" w:rsidRDefault="003F65E6" w:rsidP="004B68D2">
      <w:pPr>
        <w:adjustRightInd w:val="0"/>
        <w:spacing w:line="240" w:lineRule="auto"/>
        <w:ind w:left="-709"/>
        <w:contextualSpacing/>
        <w:rPr>
          <w:rFonts w:ascii="Arial-BoldMT" w:hAnsi="Arial-BoldMT" w:cs="Arial-BoldMT"/>
          <w:b/>
          <w:bCs/>
        </w:rPr>
      </w:pPr>
      <w:r w:rsidRPr="002C33D8">
        <w:rPr>
          <w:rFonts w:ascii="Arial-BoldMT" w:hAnsi="Arial-BoldMT" w:cs="Arial-BoldMT"/>
          <w:b/>
          <w:bCs/>
        </w:rPr>
        <w:t xml:space="preserve">Connect with </w:t>
      </w:r>
      <w:r>
        <w:rPr>
          <w:rFonts w:ascii="Arial-BoldMT" w:hAnsi="Arial-BoldMT" w:cs="Arial-BoldMT"/>
          <w:b/>
          <w:bCs/>
        </w:rPr>
        <w:t>Scorpio Gold</w:t>
      </w:r>
      <w:r w:rsidR="00441B79">
        <w:rPr>
          <w:rFonts w:ascii="Arial-BoldMT" w:hAnsi="Arial-BoldMT" w:cs="Arial-BoldMT"/>
          <w:b/>
          <w:bCs/>
        </w:rPr>
        <w:t>:</w:t>
      </w:r>
    </w:p>
    <w:p w14:paraId="7D58A1E7" w14:textId="2EFE9AAF" w:rsidR="00DE71BC" w:rsidRPr="00DE71BC" w:rsidRDefault="00DE71BC" w:rsidP="004B68D2">
      <w:pPr>
        <w:pBdr>
          <w:top w:val="nil"/>
          <w:left w:val="nil"/>
          <w:bottom w:val="nil"/>
          <w:right w:val="nil"/>
          <w:between w:val="nil"/>
        </w:pBdr>
        <w:shd w:val="clear" w:color="auto" w:fill="FFFFFF"/>
        <w:spacing w:line="240" w:lineRule="auto"/>
        <w:ind w:left="-709"/>
        <w:contextualSpacing/>
        <w:rPr>
          <w:color w:val="000000"/>
        </w:rPr>
      </w:pPr>
      <w:hyperlink r:id="rId15" w:history="1">
        <w:r w:rsidRPr="00DE71BC">
          <w:rPr>
            <w:rStyle w:val="Hyperlink"/>
          </w:rPr>
          <w:t>Email</w:t>
        </w:r>
      </w:hyperlink>
      <w:r>
        <w:rPr>
          <w:color w:val="000000"/>
        </w:rPr>
        <w:t xml:space="preserve"> | </w:t>
      </w:r>
      <w:hyperlink r:id="rId16" w:history="1">
        <w:r w:rsidRPr="00AA385B">
          <w:rPr>
            <w:rStyle w:val="Hyperlink"/>
          </w:rPr>
          <w:t>Website</w:t>
        </w:r>
      </w:hyperlink>
      <w:r>
        <w:rPr>
          <w:color w:val="000000"/>
        </w:rPr>
        <w:t xml:space="preserve"> | </w:t>
      </w:r>
      <w:hyperlink r:id="rId17" w:history="1">
        <w:r w:rsidRPr="00DE71BC">
          <w:rPr>
            <w:rStyle w:val="Hyperlink"/>
          </w:rPr>
          <w:t>Facebook</w:t>
        </w:r>
      </w:hyperlink>
      <w:r>
        <w:rPr>
          <w:color w:val="000000"/>
        </w:rPr>
        <w:t xml:space="preserve"> | </w:t>
      </w:r>
      <w:hyperlink r:id="rId18" w:history="1">
        <w:r w:rsidRPr="00DE71BC">
          <w:rPr>
            <w:rStyle w:val="Hyperlink"/>
          </w:rPr>
          <w:t>LinkedIn</w:t>
        </w:r>
      </w:hyperlink>
      <w:r>
        <w:rPr>
          <w:color w:val="000000"/>
        </w:rPr>
        <w:t xml:space="preserve"> | </w:t>
      </w:r>
      <w:hyperlink r:id="rId19" w:history="1">
        <w:r w:rsidRPr="00DE71BC">
          <w:rPr>
            <w:rStyle w:val="Hyperlink"/>
          </w:rPr>
          <w:t>X</w:t>
        </w:r>
      </w:hyperlink>
      <w:r>
        <w:rPr>
          <w:color w:val="000000"/>
        </w:rPr>
        <w:t xml:space="preserve"> | </w:t>
      </w:r>
      <w:hyperlink r:id="rId20" w:history="1">
        <w:r w:rsidRPr="00DE71BC">
          <w:rPr>
            <w:rStyle w:val="Hyperlink"/>
          </w:rPr>
          <w:t>YouTube</w:t>
        </w:r>
      </w:hyperlink>
    </w:p>
    <w:p w14:paraId="4746E925" w14:textId="1318D75C" w:rsidR="003F65E6" w:rsidRDefault="003F65E6" w:rsidP="004B68D2">
      <w:pPr>
        <w:pStyle w:val="BodyText"/>
        <w:ind w:left="-709"/>
        <w:jc w:val="both"/>
        <w:rPr>
          <w:rStyle w:val="Hyperlink"/>
          <w:rFonts w:ascii="ArialMT" w:eastAsiaTheme="minorHAnsi" w:hAnsi="ArialMT" w:cs="ArialMT"/>
          <w:sz w:val="22"/>
          <w:szCs w:val="22"/>
          <w:lang w:val="en-CA"/>
        </w:rPr>
      </w:pPr>
      <w:r w:rsidRPr="0063069D">
        <w:rPr>
          <w:rFonts w:ascii="ArialMT" w:eastAsiaTheme="minorHAnsi" w:hAnsi="ArialMT" w:cs="ArialMT"/>
          <w:sz w:val="22"/>
          <w:szCs w:val="22"/>
          <w:lang w:val="en-CA"/>
        </w:rPr>
        <w:t xml:space="preserve">To register for investor updates please </w:t>
      </w:r>
      <w:r w:rsidRPr="002C33D8">
        <w:rPr>
          <w:rFonts w:ascii="ArialMT" w:eastAsiaTheme="minorHAnsi" w:hAnsi="ArialMT" w:cs="ArialMT"/>
          <w:sz w:val="22"/>
          <w:szCs w:val="22"/>
          <w:lang w:val="en-CA"/>
        </w:rPr>
        <w:t>visit</w:t>
      </w:r>
      <w:r w:rsidR="00DE71BC">
        <w:rPr>
          <w:rFonts w:ascii="ArialMT" w:eastAsiaTheme="minorHAnsi" w:hAnsi="ArialMT" w:cs="ArialMT"/>
          <w:sz w:val="22"/>
          <w:szCs w:val="22"/>
          <w:lang w:val="en-CA"/>
        </w:rPr>
        <w:t>:</w:t>
      </w:r>
      <w:r w:rsidRPr="002C33D8">
        <w:rPr>
          <w:rFonts w:ascii="ArialMT" w:eastAsiaTheme="minorHAnsi" w:hAnsi="ArialMT" w:cs="ArialMT"/>
          <w:sz w:val="22"/>
          <w:szCs w:val="22"/>
          <w:lang w:val="en-CA"/>
        </w:rPr>
        <w:t xml:space="preserve"> </w:t>
      </w:r>
      <w:hyperlink r:id="rId21" w:history="1">
        <w:r w:rsidR="00DE71BC" w:rsidRPr="00DE71BC">
          <w:rPr>
            <w:rStyle w:val="Hyperlink"/>
            <w:rFonts w:ascii="ArialMT" w:eastAsiaTheme="minorHAnsi" w:hAnsi="ArialMT" w:cs="ArialMT"/>
            <w:sz w:val="22"/>
            <w:szCs w:val="22"/>
            <w:lang w:val="en-CA"/>
          </w:rPr>
          <w:t>scorpiogold.com</w:t>
        </w:r>
      </w:hyperlink>
    </w:p>
    <w:p w14:paraId="04E7D032" w14:textId="632B502E" w:rsidR="004B68D2" w:rsidRDefault="004B68D2" w:rsidP="004B68D2">
      <w:pPr>
        <w:pStyle w:val="BodyText"/>
        <w:ind w:left="-709"/>
        <w:jc w:val="both"/>
        <w:rPr>
          <w:rFonts w:ascii="ArialMT" w:eastAsiaTheme="minorHAnsi" w:hAnsi="ArialMT" w:cs="ArialMT"/>
          <w:b/>
          <w:bCs/>
          <w:sz w:val="22"/>
          <w:szCs w:val="22"/>
          <w:lang w:val="en-CA"/>
        </w:rPr>
      </w:pPr>
      <w:r>
        <w:rPr>
          <w:rFonts w:ascii="ArialMT" w:eastAsiaTheme="minorHAnsi" w:hAnsi="ArialMT" w:cs="ArialMT"/>
          <w:sz w:val="22"/>
          <w:szCs w:val="22"/>
          <w:lang w:val="en-CA"/>
        </w:rPr>
        <w:t xml:space="preserve">TSXV: </w:t>
      </w:r>
      <w:r w:rsidRPr="004B68D2">
        <w:rPr>
          <w:rFonts w:ascii="ArialMT" w:eastAsiaTheme="minorHAnsi" w:hAnsi="ArialMT" w:cs="ArialMT"/>
          <w:b/>
          <w:bCs/>
          <w:sz w:val="22"/>
          <w:szCs w:val="22"/>
          <w:lang w:val="en-CA"/>
        </w:rPr>
        <w:t xml:space="preserve">SGN </w:t>
      </w:r>
      <w:r>
        <w:rPr>
          <w:rFonts w:ascii="ArialMT" w:eastAsiaTheme="minorHAnsi" w:hAnsi="ArialMT" w:cs="ArialMT"/>
          <w:sz w:val="22"/>
          <w:szCs w:val="22"/>
          <w:lang w:val="en-CA"/>
        </w:rPr>
        <w:t xml:space="preserve">| OTC: </w:t>
      </w:r>
      <w:r w:rsidRPr="004B68D2">
        <w:rPr>
          <w:rFonts w:ascii="ArialMT" w:eastAsiaTheme="minorHAnsi" w:hAnsi="ArialMT" w:cs="ArialMT"/>
          <w:b/>
          <w:bCs/>
          <w:sz w:val="22"/>
          <w:szCs w:val="22"/>
          <w:lang w:val="en-CA"/>
        </w:rPr>
        <w:t>SRCRF</w:t>
      </w:r>
      <w:r>
        <w:rPr>
          <w:rFonts w:ascii="ArialMT" w:eastAsiaTheme="minorHAnsi" w:hAnsi="ArialMT" w:cs="ArialMT"/>
          <w:sz w:val="22"/>
          <w:szCs w:val="22"/>
          <w:lang w:val="en-CA"/>
        </w:rPr>
        <w:t xml:space="preserve"> | FSE: </w:t>
      </w:r>
      <w:r w:rsidRPr="004B68D2">
        <w:rPr>
          <w:rFonts w:ascii="ArialMT" w:eastAsiaTheme="minorHAnsi" w:hAnsi="ArialMT" w:cs="ArialMT"/>
          <w:b/>
          <w:bCs/>
          <w:sz w:val="22"/>
          <w:szCs w:val="22"/>
          <w:lang w:val="en-CA"/>
        </w:rPr>
        <w:t>RY9</w:t>
      </w:r>
    </w:p>
    <w:p w14:paraId="5DF860C4" w14:textId="1CA52209" w:rsidR="00C67FC0" w:rsidRDefault="00C67FC0" w:rsidP="00C67FC0">
      <w:pPr>
        <w:pBdr>
          <w:top w:val="nil"/>
          <w:left w:val="nil"/>
          <w:bottom w:val="nil"/>
          <w:right w:val="nil"/>
          <w:between w:val="nil"/>
        </w:pBdr>
        <w:shd w:val="clear" w:color="auto" w:fill="FFFFFF"/>
        <w:spacing w:before="300" w:after="240" w:line="240" w:lineRule="auto"/>
        <w:ind w:left="-709"/>
        <w:jc w:val="both"/>
        <w:rPr>
          <w:i/>
          <w:color w:val="000000"/>
        </w:rPr>
      </w:pPr>
      <w:r w:rsidRPr="00FE04B6">
        <w:rPr>
          <w:b/>
          <w:bCs/>
          <w:i/>
          <w:color w:val="000000"/>
        </w:rPr>
        <w:t>Forward-Looking Statements</w:t>
      </w:r>
    </w:p>
    <w:p w14:paraId="1897E3BD" w14:textId="2C7BA434" w:rsidR="00C67FC0" w:rsidRPr="00C67FC0" w:rsidRDefault="00C67FC0" w:rsidP="00B56FFE">
      <w:pPr>
        <w:pBdr>
          <w:top w:val="nil"/>
          <w:left w:val="nil"/>
          <w:bottom w:val="nil"/>
          <w:right w:val="nil"/>
          <w:between w:val="nil"/>
        </w:pBdr>
        <w:shd w:val="clear" w:color="auto" w:fill="FFFFFF"/>
        <w:spacing w:before="300" w:after="240" w:line="240" w:lineRule="auto"/>
        <w:ind w:left="-709" w:right="-720"/>
        <w:jc w:val="both"/>
        <w:rPr>
          <w:rStyle w:val="Hyperlink"/>
          <w:i/>
          <w:color w:val="000000"/>
          <w:u w:val="none"/>
        </w:rPr>
      </w:pPr>
      <w:r>
        <w:rPr>
          <w:i/>
          <w:color w:val="000000"/>
        </w:rPr>
        <w:t xml:space="preserve">The Company relies on litigation protection for forward-looking statements. This news release contains forward-looking statements that are based </w:t>
      </w:r>
      <w:r w:rsidRPr="00621C78">
        <w:rPr>
          <w:i/>
          <w:color w:val="000000"/>
        </w:rPr>
        <w:t>on the Company’s current expectations and estimates. Forward-looking statements are frequently characterized by words such as “plan”, “expect”, “project”, “intend”, “believe”, “anticipate”, “estimate”, “suggest”, “indicate” and other similar words or statements that certain events or conditions “may” or “will” occur, and include, without limitation, statements regarding:</w:t>
      </w:r>
      <w:r w:rsidR="00D612B8">
        <w:rPr>
          <w:i/>
          <w:color w:val="000000"/>
        </w:rPr>
        <w:t xml:space="preserve"> the Company's exploration plans and ability to systematically test mineralized trends; the work required to upgrade or verify the Historical MRE to a current mineral resource;</w:t>
      </w:r>
      <w:r>
        <w:rPr>
          <w:i/>
          <w:color w:val="000000"/>
        </w:rPr>
        <w:t xml:space="preserve"> </w:t>
      </w:r>
      <w:r w:rsidR="00B56FFE">
        <w:rPr>
          <w:i/>
          <w:color w:val="000000"/>
        </w:rPr>
        <w:t xml:space="preserve">the intention of the Company to make all payments towards the Option and to exercise the Option on the terms and conditions set out under the Agreement; and </w:t>
      </w:r>
      <w:r w:rsidR="00702E5B">
        <w:rPr>
          <w:i/>
          <w:color w:val="000000"/>
        </w:rPr>
        <w:t>the approval of the TSXV for the Agreement</w:t>
      </w:r>
      <w:r w:rsidR="00B56FFE">
        <w:rPr>
          <w:i/>
          <w:color w:val="000000"/>
        </w:rPr>
        <w:t xml:space="preserve">. </w:t>
      </w:r>
      <w:r w:rsidRPr="00621C78">
        <w:rPr>
          <w:i/>
          <w:color w:val="000000"/>
        </w:rPr>
        <w:t>There is significant risk that the forward-looking statements will not prove to be accurate, that the management’s assumptions may not be correct and that actual results may differ materially from such forward-looking statements. Such forward-looking statements involve known and unknown risks, uncertainties and other factors that could cause actual events or results to differ materially from estimated or anticipated events or results implied or expressed in such forward-looking statements, including those risk factors outlined in the Company’s Management Discussion and Analysis as filed on SEDAR+. Any forward-looking statement speaks only as of the date on which it is made and, except as may</w:t>
      </w:r>
      <w:r>
        <w:rPr>
          <w:i/>
          <w:color w:val="000000"/>
        </w:rPr>
        <w:t xml:space="preserve"> be required by applicable securities laws, the Company disclaims any intent or obligation to update any forward-looking statement, whether </w:t>
      </w:r>
      <w:proofErr w:type="gramStart"/>
      <w:r>
        <w:rPr>
          <w:i/>
          <w:color w:val="000000"/>
        </w:rPr>
        <w:t>as a result of</w:t>
      </w:r>
      <w:proofErr w:type="gramEnd"/>
      <w:r>
        <w:rPr>
          <w:i/>
          <w:color w:val="000000"/>
        </w:rPr>
        <w:t xml:space="preserve"> new information, future events or results or otherwise. Forward-looking statements are not guarantees of future performance and accordingly undue reliance should not be put on such statements due to the inherent uncertainty thereof.</w:t>
      </w:r>
    </w:p>
    <w:p w14:paraId="5216D5CD" w14:textId="0C18FD4E" w:rsidR="00441B79" w:rsidRDefault="00441B79" w:rsidP="003D5876">
      <w:pPr>
        <w:pBdr>
          <w:top w:val="nil"/>
          <w:left w:val="nil"/>
          <w:bottom w:val="nil"/>
          <w:right w:val="nil"/>
          <w:between w:val="nil"/>
        </w:pBdr>
        <w:shd w:val="clear" w:color="auto" w:fill="FFFFFF"/>
        <w:spacing w:before="300" w:after="240" w:line="240" w:lineRule="auto"/>
        <w:ind w:left="-709" w:right="-720"/>
        <w:jc w:val="center"/>
        <w:rPr>
          <w:color w:val="000000"/>
        </w:rPr>
      </w:pPr>
      <w:r>
        <w:rPr>
          <w:i/>
          <w:color w:val="000000"/>
        </w:rPr>
        <w:t>Neither the TSX Venture Exchange nor its Regulation Services Provider (as that term is defined in the policies of the Exchange) accepts responsibility for the adequacy or accuracy of this release.</w:t>
      </w:r>
    </w:p>
    <w:sectPr w:rsidR="00441B79" w:rsidSect="00AA3780">
      <w:headerReference w:type="default" r:id="rId22"/>
      <w:headerReference w:type="first" r:id="rId23"/>
      <w:footerReference w:type="first" r:id="rId24"/>
      <w:type w:val="continuous"/>
      <w:pgSz w:w="12240" w:h="15840"/>
      <w:pgMar w:top="1440" w:right="1440" w:bottom="1440" w:left="1440" w:header="720" w:footer="720" w:gutter="0"/>
      <w:pgNumType w:start="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D9F194" w14:textId="77777777" w:rsidR="004E0737" w:rsidRDefault="004E0737">
      <w:pPr>
        <w:spacing w:line="240" w:lineRule="auto"/>
      </w:pPr>
      <w:r>
        <w:separator/>
      </w:r>
    </w:p>
  </w:endnote>
  <w:endnote w:type="continuationSeparator" w:id="0">
    <w:p w14:paraId="2A606216" w14:textId="77777777" w:rsidR="004E0737" w:rsidRDefault="004E07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rial-BoldMT">
    <w:altName w:val="Arial"/>
    <w:panose1 w:val="020B0604020202020204"/>
    <w:charset w:val="00"/>
    <w:family w:val="auto"/>
    <w:pitch w:val="default"/>
    <w:sig w:usb0="00000003" w:usb1="00000000" w:usb2="00000000" w:usb3="00000000" w:csb0="00000001" w:csb1="00000000"/>
  </w:font>
  <w:font w:name="ArialMT">
    <w:altName w:val="Arial"/>
    <w:panose1 w:val="020B0604020202020204"/>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2CB78" w14:textId="5D639F32" w:rsidR="00AA3037" w:rsidRDefault="00AA3037" w:rsidP="003D5876">
    <w:pPr>
      <w:pStyle w:val="Footer"/>
      <w:spacing w:line="180"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FB059" w14:textId="7E72905B" w:rsidR="004F3785" w:rsidRDefault="004F3785">
    <w:pPr>
      <w:pStyle w:val="Footer"/>
      <w:tabs>
        <w:tab w:val="clear" w:pos="4680"/>
        <w:tab w:val="clear" w:pos="9360"/>
      </w:tabs>
      <w:jc w:val="center"/>
      <w:rPr>
        <w:caps/>
        <w:noProof/>
        <w:color w:val="4F81BD" w:themeColor="accent1"/>
      </w:rPr>
    </w:pPr>
    <w:r w:rsidRPr="004F3785">
      <w:rPr>
        <w:caps/>
        <w:noProof/>
        <w:color w:val="4F81BD" w:themeColor="accent1"/>
      </w:rPr>
      <w:fldChar w:fldCharType="begin"/>
    </w:r>
    <w:r w:rsidRPr="004F3785">
      <w:rPr>
        <w:caps/>
        <w:noProof/>
        <w:color w:val="4F81BD" w:themeColor="accent1"/>
      </w:rPr>
      <w:instrText xml:space="preserve"> PAGE   \* MERGEFORMAT </w:instrText>
    </w:r>
    <w:r w:rsidRPr="004F3785">
      <w:rPr>
        <w:caps/>
        <w:noProof/>
        <w:color w:val="4F81BD" w:themeColor="accent1"/>
      </w:rPr>
      <w:fldChar w:fldCharType="separate"/>
    </w:r>
    <w:r w:rsidRPr="004F3785">
      <w:rPr>
        <w:caps/>
        <w:noProof/>
        <w:color w:val="4F81BD" w:themeColor="accent1"/>
      </w:rPr>
      <w:t>1</w:t>
    </w:r>
    <w:r w:rsidRPr="004F3785">
      <w:rPr>
        <w:caps/>
        <w:noProof/>
        <w:color w:val="4F81BD" w:themeColor="accent1"/>
      </w:rPr>
      <w:fldChar w:fldCharType="end"/>
    </w:r>
  </w:p>
  <w:p w14:paraId="71ECFF33" w14:textId="77777777" w:rsidR="004F3785" w:rsidRDefault="004F37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5728B3" w14:textId="77777777" w:rsidR="004E0737" w:rsidRDefault="004E0737">
      <w:pPr>
        <w:spacing w:line="240" w:lineRule="auto"/>
      </w:pPr>
      <w:r>
        <w:separator/>
      </w:r>
    </w:p>
  </w:footnote>
  <w:footnote w:type="continuationSeparator" w:id="0">
    <w:p w14:paraId="337FD302" w14:textId="77777777" w:rsidR="004E0737" w:rsidRDefault="004E0737">
      <w:pPr>
        <w:spacing w:line="240" w:lineRule="auto"/>
      </w:pPr>
      <w:r>
        <w:continuationSeparator/>
      </w:r>
    </w:p>
  </w:footnote>
  <w:footnote w:id="1">
    <w:p w14:paraId="6AF55B8D" w14:textId="5D0FA53D" w:rsidR="00D63E92" w:rsidRDefault="00D63E92">
      <w:pPr>
        <w:pStyle w:val="FootnoteText"/>
      </w:pPr>
      <w:r>
        <w:rPr>
          <w:rStyle w:val="FootnoteReference"/>
        </w:rPr>
        <w:footnoteRef/>
      </w:r>
      <w:r>
        <w:t xml:space="preserve"> </w:t>
      </w:r>
      <w:r w:rsidRPr="00D63E92">
        <w:t>https://www.newswire.ca/news-releases/soil-geochemistry-results-highlight-exciting-new-targets-at-sierra-s-betty-east-property-western-nevada-869074092.html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F13AD" w14:textId="77777777" w:rsidR="00B97FB1" w:rsidRPr="00FE3D23" w:rsidRDefault="00B97FB1" w:rsidP="00FE3D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C1C91" w14:textId="77777777" w:rsidR="004F3785" w:rsidRDefault="004F37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455625"/>
    <w:multiLevelType w:val="hybridMultilevel"/>
    <w:tmpl w:val="CD8C2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65383C"/>
    <w:multiLevelType w:val="hybridMultilevel"/>
    <w:tmpl w:val="3BD83522"/>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2" w15:restartNumberingAfterBreak="0">
    <w:nsid w:val="1DB44488"/>
    <w:multiLevelType w:val="hybridMultilevel"/>
    <w:tmpl w:val="2E6AED6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8F545F"/>
    <w:multiLevelType w:val="hybridMultilevel"/>
    <w:tmpl w:val="A6C68178"/>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436A049F"/>
    <w:multiLevelType w:val="hybridMultilevel"/>
    <w:tmpl w:val="0CEAC462"/>
    <w:lvl w:ilvl="0" w:tplc="95661962">
      <w:numFmt w:val="bullet"/>
      <w:lvlText w:val="-"/>
      <w:lvlJc w:val="left"/>
      <w:pPr>
        <w:ind w:left="720" w:hanging="360"/>
      </w:pPr>
      <w:rPr>
        <w:rFonts w:ascii="Arial" w:eastAsia="Arial"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6AF5FB4"/>
    <w:multiLevelType w:val="hybridMultilevel"/>
    <w:tmpl w:val="826CCCB0"/>
    <w:lvl w:ilvl="0" w:tplc="CE38F556">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60C41455"/>
    <w:multiLevelType w:val="hybridMultilevel"/>
    <w:tmpl w:val="7BFAC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380E9B"/>
    <w:multiLevelType w:val="hybridMultilevel"/>
    <w:tmpl w:val="E7BA5BA8"/>
    <w:lvl w:ilvl="0" w:tplc="D67E1FBC">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327F17"/>
    <w:multiLevelType w:val="hybridMultilevel"/>
    <w:tmpl w:val="E318CD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BF66475"/>
    <w:multiLevelType w:val="hybridMultilevel"/>
    <w:tmpl w:val="67CC9C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254165504">
    <w:abstractNumId w:val="1"/>
  </w:num>
  <w:num w:numId="2" w16cid:durableId="1987127254">
    <w:abstractNumId w:val="8"/>
  </w:num>
  <w:num w:numId="3" w16cid:durableId="643435558">
    <w:abstractNumId w:val="4"/>
  </w:num>
  <w:num w:numId="4" w16cid:durableId="377515495">
    <w:abstractNumId w:val="0"/>
  </w:num>
  <w:num w:numId="5" w16cid:durableId="1786382455">
    <w:abstractNumId w:val="6"/>
  </w:num>
  <w:num w:numId="6" w16cid:durableId="400443295">
    <w:abstractNumId w:val="5"/>
  </w:num>
  <w:num w:numId="7" w16cid:durableId="2014525402">
    <w:abstractNumId w:val="3"/>
  </w:num>
  <w:num w:numId="8" w16cid:durableId="1813450685">
    <w:abstractNumId w:val="9"/>
  </w:num>
  <w:num w:numId="9" w16cid:durableId="428426614">
    <w:abstractNumId w:val="7"/>
  </w:num>
  <w:num w:numId="10" w16cid:durableId="14166360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ndGeneratedStamp" w:val="1381-2264-0408, v. 5"/>
    <w:docVar w:name="ndGeneratedStampLocation" w:val="EachPage"/>
  </w:docVars>
  <w:rsids>
    <w:rsidRoot w:val="00325581"/>
    <w:rsid w:val="00002486"/>
    <w:rsid w:val="000234E4"/>
    <w:rsid w:val="0002663B"/>
    <w:rsid w:val="00027EB9"/>
    <w:rsid w:val="00047A41"/>
    <w:rsid w:val="000550CB"/>
    <w:rsid w:val="00055FE7"/>
    <w:rsid w:val="000571E4"/>
    <w:rsid w:val="000630AF"/>
    <w:rsid w:val="00066EC2"/>
    <w:rsid w:val="00073BD3"/>
    <w:rsid w:val="00077559"/>
    <w:rsid w:val="00092FF4"/>
    <w:rsid w:val="000A708A"/>
    <w:rsid w:val="000B4146"/>
    <w:rsid w:val="000C40F3"/>
    <w:rsid w:val="000C65AA"/>
    <w:rsid w:val="000D3965"/>
    <w:rsid w:val="000E2AFA"/>
    <w:rsid w:val="00107471"/>
    <w:rsid w:val="001264B1"/>
    <w:rsid w:val="00126FD0"/>
    <w:rsid w:val="00131EDE"/>
    <w:rsid w:val="0013427F"/>
    <w:rsid w:val="001360E5"/>
    <w:rsid w:val="001434B8"/>
    <w:rsid w:val="001544EE"/>
    <w:rsid w:val="00191BA6"/>
    <w:rsid w:val="001930C7"/>
    <w:rsid w:val="001A436A"/>
    <w:rsid w:val="001A5D44"/>
    <w:rsid w:val="001B2274"/>
    <w:rsid w:val="001D0D5A"/>
    <w:rsid w:val="001E045A"/>
    <w:rsid w:val="001E6C9F"/>
    <w:rsid w:val="001F43CF"/>
    <w:rsid w:val="00204B41"/>
    <w:rsid w:val="00223508"/>
    <w:rsid w:val="0024389F"/>
    <w:rsid w:val="00250AD5"/>
    <w:rsid w:val="00255D83"/>
    <w:rsid w:val="00255E33"/>
    <w:rsid w:val="00257FD0"/>
    <w:rsid w:val="00261828"/>
    <w:rsid w:val="00263EE3"/>
    <w:rsid w:val="00275B48"/>
    <w:rsid w:val="002827A3"/>
    <w:rsid w:val="00295FE6"/>
    <w:rsid w:val="002A1081"/>
    <w:rsid w:val="002A50E3"/>
    <w:rsid w:val="002B62BE"/>
    <w:rsid w:val="002D5920"/>
    <w:rsid w:val="002D61A3"/>
    <w:rsid w:val="002E04A0"/>
    <w:rsid w:val="002E2C65"/>
    <w:rsid w:val="002E6750"/>
    <w:rsid w:val="002F00E5"/>
    <w:rsid w:val="002F1E2A"/>
    <w:rsid w:val="002F22B5"/>
    <w:rsid w:val="002F61CF"/>
    <w:rsid w:val="0031208D"/>
    <w:rsid w:val="003171B6"/>
    <w:rsid w:val="00325581"/>
    <w:rsid w:val="00337236"/>
    <w:rsid w:val="0034255D"/>
    <w:rsid w:val="003525B6"/>
    <w:rsid w:val="00353DC5"/>
    <w:rsid w:val="00356B7D"/>
    <w:rsid w:val="0035769D"/>
    <w:rsid w:val="00370BD4"/>
    <w:rsid w:val="0037607D"/>
    <w:rsid w:val="00385122"/>
    <w:rsid w:val="003854FB"/>
    <w:rsid w:val="003864B4"/>
    <w:rsid w:val="0039433D"/>
    <w:rsid w:val="003A2B44"/>
    <w:rsid w:val="003C03C5"/>
    <w:rsid w:val="003D0598"/>
    <w:rsid w:val="003D5876"/>
    <w:rsid w:val="003D62B6"/>
    <w:rsid w:val="003E287A"/>
    <w:rsid w:val="003F65E6"/>
    <w:rsid w:val="0040093A"/>
    <w:rsid w:val="00412568"/>
    <w:rsid w:val="004224D7"/>
    <w:rsid w:val="00422E78"/>
    <w:rsid w:val="00430C5C"/>
    <w:rsid w:val="00441B79"/>
    <w:rsid w:val="00443D64"/>
    <w:rsid w:val="00457E85"/>
    <w:rsid w:val="00464961"/>
    <w:rsid w:val="00471D33"/>
    <w:rsid w:val="00473F7D"/>
    <w:rsid w:val="00474019"/>
    <w:rsid w:val="00481F6A"/>
    <w:rsid w:val="00484C80"/>
    <w:rsid w:val="00485C2F"/>
    <w:rsid w:val="004A1AAA"/>
    <w:rsid w:val="004A49DF"/>
    <w:rsid w:val="004B1C2E"/>
    <w:rsid w:val="004B68D2"/>
    <w:rsid w:val="004C0166"/>
    <w:rsid w:val="004C679E"/>
    <w:rsid w:val="004C6D0A"/>
    <w:rsid w:val="004C79D4"/>
    <w:rsid w:val="004E0737"/>
    <w:rsid w:val="004E3855"/>
    <w:rsid w:val="004F3785"/>
    <w:rsid w:val="00506C98"/>
    <w:rsid w:val="00507A1F"/>
    <w:rsid w:val="00521295"/>
    <w:rsid w:val="00536538"/>
    <w:rsid w:val="00537B3E"/>
    <w:rsid w:val="00546272"/>
    <w:rsid w:val="00546496"/>
    <w:rsid w:val="00564758"/>
    <w:rsid w:val="005711BD"/>
    <w:rsid w:val="005752BB"/>
    <w:rsid w:val="0057620A"/>
    <w:rsid w:val="00586193"/>
    <w:rsid w:val="00587170"/>
    <w:rsid w:val="0059389C"/>
    <w:rsid w:val="005969D0"/>
    <w:rsid w:val="005E2B16"/>
    <w:rsid w:val="005F2658"/>
    <w:rsid w:val="005F6A29"/>
    <w:rsid w:val="005F7CAB"/>
    <w:rsid w:val="00601AB8"/>
    <w:rsid w:val="006116CC"/>
    <w:rsid w:val="006118BA"/>
    <w:rsid w:val="00625D9D"/>
    <w:rsid w:val="00637AF8"/>
    <w:rsid w:val="00640854"/>
    <w:rsid w:val="0065493D"/>
    <w:rsid w:val="00671B14"/>
    <w:rsid w:val="00676A6B"/>
    <w:rsid w:val="0068197E"/>
    <w:rsid w:val="00690AB2"/>
    <w:rsid w:val="006916CC"/>
    <w:rsid w:val="00691974"/>
    <w:rsid w:val="00692031"/>
    <w:rsid w:val="006A07F6"/>
    <w:rsid w:val="006A1ED7"/>
    <w:rsid w:val="006B60D1"/>
    <w:rsid w:val="006D6C01"/>
    <w:rsid w:val="006F75C0"/>
    <w:rsid w:val="0070070D"/>
    <w:rsid w:val="00702E5B"/>
    <w:rsid w:val="0070374D"/>
    <w:rsid w:val="00705FCD"/>
    <w:rsid w:val="00724AD0"/>
    <w:rsid w:val="00727B2B"/>
    <w:rsid w:val="007470ED"/>
    <w:rsid w:val="00747126"/>
    <w:rsid w:val="00747695"/>
    <w:rsid w:val="00757384"/>
    <w:rsid w:val="0076023E"/>
    <w:rsid w:val="007606A6"/>
    <w:rsid w:val="00760F3E"/>
    <w:rsid w:val="00771869"/>
    <w:rsid w:val="00773D76"/>
    <w:rsid w:val="007A0184"/>
    <w:rsid w:val="007A5302"/>
    <w:rsid w:val="007B2D60"/>
    <w:rsid w:val="007B6617"/>
    <w:rsid w:val="007B7F30"/>
    <w:rsid w:val="007C7F96"/>
    <w:rsid w:val="007E23B9"/>
    <w:rsid w:val="00813888"/>
    <w:rsid w:val="00842CF0"/>
    <w:rsid w:val="00867BB5"/>
    <w:rsid w:val="00871CD4"/>
    <w:rsid w:val="00873D3D"/>
    <w:rsid w:val="00883ACC"/>
    <w:rsid w:val="008A4FCF"/>
    <w:rsid w:val="008C1EC8"/>
    <w:rsid w:val="008C3293"/>
    <w:rsid w:val="008C482C"/>
    <w:rsid w:val="008C6303"/>
    <w:rsid w:val="008E0FF4"/>
    <w:rsid w:val="008F7D50"/>
    <w:rsid w:val="00903DA4"/>
    <w:rsid w:val="0090411D"/>
    <w:rsid w:val="00906CD0"/>
    <w:rsid w:val="0091247F"/>
    <w:rsid w:val="00922799"/>
    <w:rsid w:val="009362AF"/>
    <w:rsid w:val="009464E2"/>
    <w:rsid w:val="00965F93"/>
    <w:rsid w:val="00970DD8"/>
    <w:rsid w:val="009926C1"/>
    <w:rsid w:val="00994EDC"/>
    <w:rsid w:val="009A7E27"/>
    <w:rsid w:val="009B76A9"/>
    <w:rsid w:val="009C1DD5"/>
    <w:rsid w:val="009C5573"/>
    <w:rsid w:val="009C5C8A"/>
    <w:rsid w:val="009D475F"/>
    <w:rsid w:val="009E00BB"/>
    <w:rsid w:val="00A027EF"/>
    <w:rsid w:val="00A05E73"/>
    <w:rsid w:val="00A11551"/>
    <w:rsid w:val="00A17690"/>
    <w:rsid w:val="00A24ED1"/>
    <w:rsid w:val="00A359B4"/>
    <w:rsid w:val="00A470C2"/>
    <w:rsid w:val="00A74ADD"/>
    <w:rsid w:val="00A77857"/>
    <w:rsid w:val="00A837C8"/>
    <w:rsid w:val="00A950FC"/>
    <w:rsid w:val="00AA2E2B"/>
    <w:rsid w:val="00AA3037"/>
    <w:rsid w:val="00AA3780"/>
    <w:rsid w:val="00AA385B"/>
    <w:rsid w:val="00AB2C52"/>
    <w:rsid w:val="00AD10EC"/>
    <w:rsid w:val="00B05436"/>
    <w:rsid w:val="00B17C49"/>
    <w:rsid w:val="00B21CF5"/>
    <w:rsid w:val="00B23B8E"/>
    <w:rsid w:val="00B23CB6"/>
    <w:rsid w:val="00B37354"/>
    <w:rsid w:val="00B4383B"/>
    <w:rsid w:val="00B46F65"/>
    <w:rsid w:val="00B539DA"/>
    <w:rsid w:val="00B56FFE"/>
    <w:rsid w:val="00B600BB"/>
    <w:rsid w:val="00B6709B"/>
    <w:rsid w:val="00B679A8"/>
    <w:rsid w:val="00B72DBB"/>
    <w:rsid w:val="00B7382B"/>
    <w:rsid w:val="00B74AD9"/>
    <w:rsid w:val="00B87D79"/>
    <w:rsid w:val="00B93662"/>
    <w:rsid w:val="00B97FB1"/>
    <w:rsid w:val="00BA0E45"/>
    <w:rsid w:val="00BB7371"/>
    <w:rsid w:val="00BC2CEF"/>
    <w:rsid w:val="00BC3AF3"/>
    <w:rsid w:val="00BC5D7D"/>
    <w:rsid w:val="00BD0328"/>
    <w:rsid w:val="00BD621D"/>
    <w:rsid w:val="00BD7456"/>
    <w:rsid w:val="00BE53E9"/>
    <w:rsid w:val="00BF16AE"/>
    <w:rsid w:val="00C06D55"/>
    <w:rsid w:val="00C16165"/>
    <w:rsid w:val="00C447C6"/>
    <w:rsid w:val="00C53AC2"/>
    <w:rsid w:val="00C56719"/>
    <w:rsid w:val="00C67FC0"/>
    <w:rsid w:val="00C70FCD"/>
    <w:rsid w:val="00C71D6C"/>
    <w:rsid w:val="00C76E53"/>
    <w:rsid w:val="00C77F6A"/>
    <w:rsid w:val="00C8677C"/>
    <w:rsid w:val="00CA16DE"/>
    <w:rsid w:val="00CA5740"/>
    <w:rsid w:val="00CA6587"/>
    <w:rsid w:val="00CC42EC"/>
    <w:rsid w:val="00CD04ED"/>
    <w:rsid w:val="00CD089C"/>
    <w:rsid w:val="00CD3BE9"/>
    <w:rsid w:val="00CE0B4B"/>
    <w:rsid w:val="00CE4EF7"/>
    <w:rsid w:val="00CE5454"/>
    <w:rsid w:val="00CE7B85"/>
    <w:rsid w:val="00CF4636"/>
    <w:rsid w:val="00CF75A6"/>
    <w:rsid w:val="00D117B9"/>
    <w:rsid w:val="00D163B9"/>
    <w:rsid w:val="00D170E9"/>
    <w:rsid w:val="00D22357"/>
    <w:rsid w:val="00D35305"/>
    <w:rsid w:val="00D35775"/>
    <w:rsid w:val="00D36CD7"/>
    <w:rsid w:val="00D40113"/>
    <w:rsid w:val="00D43D2E"/>
    <w:rsid w:val="00D612B8"/>
    <w:rsid w:val="00D63E92"/>
    <w:rsid w:val="00D71455"/>
    <w:rsid w:val="00D83CDD"/>
    <w:rsid w:val="00D9574C"/>
    <w:rsid w:val="00D95C3E"/>
    <w:rsid w:val="00DA168B"/>
    <w:rsid w:val="00DB2D4D"/>
    <w:rsid w:val="00DB7126"/>
    <w:rsid w:val="00DD121C"/>
    <w:rsid w:val="00DD3B37"/>
    <w:rsid w:val="00DE6D76"/>
    <w:rsid w:val="00DE71BC"/>
    <w:rsid w:val="00DF0726"/>
    <w:rsid w:val="00E039AE"/>
    <w:rsid w:val="00E046AC"/>
    <w:rsid w:val="00E13994"/>
    <w:rsid w:val="00E1496F"/>
    <w:rsid w:val="00E161FB"/>
    <w:rsid w:val="00E21CED"/>
    <w:rsid w:val="00E31416"/>
    <w:rsid w:val="00E47BA0"/>
    <w:rsid w:val="00E47BD7"/>
    <w:rsid w:val="00E54D49"/>
    <w:rsid w:val="00E6138F"/>
    <w:rsid w:val="00E61BCA"/>
    <w:rsid w:val="00E66CFC"/>
    <w:rsid w:val="00E73220"/>
    <w:rsid w:val="00E737FD"/>
    <w:rsid w:val="00E74510"/>
    <w:rsid w:val="00E770A0"/>
    <w:rsid w:val="00E821A6"/>
    <w:rsid w:val="00EF2F05"/>
    <w:rsid w:val="00F05788"/>
    <w:rsid w:val="00F1171C"/>
    <w:rsid w:val="00F12799"/>
    <w:rsid w:val="00F27288"/>
    <w:rsid w:val="00F4263B"/>
    <w:rsid w:val="00F6271A"/>
    <w:rsid w:val="00F62FE9"/>
    <w:rsid w:val="00F63DF9"/>
    <w:rsid w:val="00F923CB"/>
    <w:rsid w:val="00F97D05"/>
    <w:rsid w:val="00FA0DEA"/>
    <w:rsid w:val="00FE04B6"/>
    <w:rsid w:val="00FE3D23"/>
    <w:rsid w:val="15A9E5EE"/>
    <w:rsid w:val="242EDD8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DE3012"/>
  <w15:docId w15:val="{37A10CBE-16DC-4F1B-A061-92F61A677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unhideWhenUsed/>
    <w:rsid w:val="0082740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27408"/>
    <w:rPr>
      <w:b/>
      <w:bCs/>
    </w:rPr>
  </w:style>
  <w:style w:type="character" w:styleId="Hyperlink">
    <w:name w:val="Hyperlink"/>
    <w:basedOn w:val="DefaultParagraphFont"/>
    <w:uiPriority w:val="99"/>
    <w:unhideWhenUsed/>
    <w:rsid w:val="00827408"/>
    <w:rPr>
      <w:color w:val="0000FF"/>
      <w:u w:val="single"/>
    </w:rPr>
  </w:style>
  <w:style w:type="character" w:styleId="Emphasis">
    <w:name w:val="Emphasis"/>
    <w:basedOn w:val="DefaultParagraphFont"/>
    <w:uiPriority w:val="20"/>
    <w:qFormat/>
    <w:rsid w:val="00827408"/>
    <w:rPr>
      <w:i/>
      <w:iCs/>
    </w:rPr>
  </w:style>
  <w:style w:type="paragraph" w:styleId="Header">
    <w:name w:val="header"/>
    <w:basedOn w:val="Normal"/>
    <w:link w:val="HeaderChar"/>
    <w:uiPriority w:val="99"/>
    <w:unhideWhenUsed/>
    <w:rsid w:val="00FE3D23"/>
    <w:pPr>
      <w:tabs>
        <w:tab w:val="center" w:pos="4680"/>
        <w:tab w:val="right" w:pos="9360"/>
      </w:tabs>
      <w:spacing w:line="240" w:lineRule="auto"/>
    </w:pPr>
  </w:style>
  <w:style w:type="character" w:customStyle="1" w:styleId="HeaderChar">
    <w:name w:val="Header Char"/>
    <w:basedOn w:val="DefaultParagraphFont"/>
    <w:link w:val="Header"/>
    <w:uiPriority w:val="99"/>
    <w:rsid w:val="00FE3D23"/>
  </w:style>
  <w:style w:type="paragraph" w:styleId="Footer">
    <w:name w:val="footer"/>
    <w:basedOn w:val="Normal"/>
    <w:link w:val="FooterChar"/>
    <w:uiPriority w:val="99"/>
    <w:unhideWhenUsed/>
    <w:rsid w:val="00FE3D23"/>
    <w:pPr>
      <w:tabs>
        <w:tab w:val="center" w:pos="4680"/>
        <w:tab w:val="right" w:pos="9360"/>
      </w:tabs>
      <w:spacing w:line="240" w:lineRule="auto"/>
    </w:pPr>
  </w:style>
  <w:style w:type="character" w:customStyle="1" w:styleId="FooterChar">
    <w:name w:val="Footer Char"/>
    <w:basedOn w:val="DefaultParagraphFont"/>
    <w:link w:val="Footer"/>
    <w:uiPriority w:val="99"/>
    <w:rsid w:val="00FE3D23"/>
  </w:style>
  <w:style w:type="paragraph" w:styleId="Revision">
    <w:name w:val="Revision"/>
    <w:hidden/>
    <w:uiPriority w:val="99"/>
    <w:semiHidden/>
    <w:rsid w:val="003F65E6"/>
    <w:pPr>
      <w:spacing w:line="240" w:lineRule="auto"/>
    </w:pPr>
  </w:style>
  <w:style w:type="character" w:styleId="UnresolvedMention">
    <w:name w:val="Unresolved Mention"/>
    <w:basedOn w:val="DefaultParagraphFont"/>
    <w:uiPriority w:val="99"/>
    <w:semiHidden/>
    <w:unhideWhenUsed/>
    <w:rsid w:val="003F65E6"/>
    <w:rPr>
      <w:color w:val="605E5C"/>
      <w:shd w:val="clear" w:color="auto" w:fill="E1DFDD"/>
    </w:rPr>
  </w:style>
  <w:style w:type="paragraph" w:styleId="BodyText">
    <w:name w:val="Body Text"/>
    <w:basedOn w:val="Normal"/>
    <w:link w:val="BodyTextChar"/>
    <w:uiPriority w:val="1"/>
    <w:qFormat/>
    <w:rsid w:val="003F65E6"/>
    <w:pPr>
      <w:widowControl w:val="0"/>
      <w:autoSpaceDE w:val="0"/>
      <w:autoSpaceDN w:val="0"/>
      <w:spacing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1"/>
    <w:rsid w:val="003F65E6"/>
    <w:rPr>
      <w:rFonts w:ascii="Times New Roman" w:eastAsia="Times New Roman" w:hAnsi="Times New Roman" w:cs="Times New Roman"/>
      <w:sz w:val="24"/>
      <w:szCs w:val="24"/>
      <w:lang w:val="en-US" w:eastAsia="en-US"/>
    </w:rPr>
  </w:style>
  <w:style w:type="character" w:styleId="FollowedHyperlink">
    <w:name w:val="FollowedHyperlink"/>
    <w:basedOn w:val="DefaultParagraphFont"/>
    <w:uiPriority w:val="99"/>
    <w:semiHidden/>
    <w:unhideWhenUsed/>
    <w:rsid w:val="003F65E6"/>
    <w:rPr>
      <w:color w:val="800080" w:themeColor="followedHyperlink"/>
      <w:u w:val="single"/>
    </w:rPr>
  </w:style>
  <w:style w:type="paragraph" w:styleId="ListParagraph">
    <w:name w:val="List Paragraph"/>
    <w:basedOn w:val="Normal"/>
    <w:uiPriority w:val="34"/>
    <w:qFormat/>
    <w:rsid w:val="001E045A"/>
    <w:pPr>
      <w:ind w:left="720"/>
      <w:contextualSpacing/>
    </w:pPr>
  </w:style>
  <w:style w:type="character" w:styleId="CommentReference">
    <w:name w:val="annotation reference"/>
    <w:basedOn w:val="DefaultParagraphFont"/>
    <w:uiPriority w:val="99"/>
    <w:semiHidden/>
    <w:unhideWhenUsed/>
    <w:rsid w:val="00601AB8"/>
    <w:rPr>
      <w:sz w:val="16"/>
      <w:szCs w:val="16"/>
    </w:rPr>
  </w:style>
  <w:style w:type="paragraph" w:styleId="CommentText">
    <w:name w:val="annotation text"/>
    <w:basedOn w:val="Normal"/>
    <w:link w:val="CommentTextChar"/>
    <w:uiPriority w:val="99"/>
    <w:unhideWhenUsed/>
    <w:rsid w:val="00601AB8"/>
    <w:pPr>
      <w:spacing w:line="240" w:lineRule="auto"/>
    </w:pPr>
    <w:rPr>
      <w:sz w:val="20"/>
      <w:szCs w:val="20"/>
    </w:rPr>
  </w:style>
  <w:style w:type="character" w:customStyle="1" w:styleId="CommentTextChar">
    <w:name w:val="Comment Text Char"/>
    <w:basedOn w:val="DefaultParagraphFont"/>
    <w:link w:val="CommentText"/>
    <w:uiPriority w:val="99"/>
    <w:rsid w:val="00601AB8"/>
    <w:rPr>
      <w:sz w:val="20"/>
      <w:szCs w:val="20"/>
    </w:rPr>
  </w:style>
  <w:style w:type="paragraph" w:styleId="CommentSubject">
    <w:name w:val="annotation subject"/>
    <w:basedOn w:val="CommentText"/>
    <w:next w:val="CommentText"/>
    <w:link w:val="CommentSubjectChar"/>
    <w:uiPriority w:val="99"/>
    <w:semiHidden/>
    <w:unhideWhenUsed/>
    <w:rsid w:val="00601AB8"/>
    <w:rPr>
      <w:b/>
      <w:bCs/>
    </w:rPr>
  </w:style>
  <w:style w:type="character" w:customStyle="1" w:styleId="CommentSubjectChar">
    <w:name w:val="Comment Subject Char"/>
    <w:basedOn w:val="CommentTextChar"/>
    <w:link w:val="CommentSubject"/>
    <w:uiPriority w:val="99"/>
    <w:semiHidden/>
    <w:rsid w:val="00601AB8"/>
    <w:rPr>
      <w:b/>
      <w:bCs/>
      <w:sz w:val="20"/>
      <w:szCs w:val="20"/>
    </w:rPr>
  </w:style>
  <w:style w:type="paragraph" w:customStyle="1" w:styleId="p1">
    <w:name w:val="p1"/>
    <w:basedOn w:val="Normal"/>
    <w:rsid w:val="00B74AD9"/>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apple-converted-space">
    <w:name w:val="apple-converted-space"/>
    <w:basedOn w:val="DefaultParagraphFont"/>
    <w:rsid w:val="00B74AD9"/>
  </w:style>
  <w:style w:type="paragraph" w:customStyle="1" w:styleId="p2">
    <w:name w:val="p2"/>
    <w:basedOn w:val="Normal"/>
    <w:rsid w:val="00B74AD9"/>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FootnoteText">
    <w:name w:val="footnote text"/>
    <w:basedOn w:val="Normal"/>
    <w:link w:val="FootnoteTextChar"/>
    <w:uiPriority w:val="99"/>
    <w:unhideWhenUsed/>
    <w:rsid w:val="000630AF"/>
    <w:pPr>
      <w:spacing w:line="240" w:lineRule="auto"/>
    </w:pPr>
    <w:rPr>
      <w:sz w:val="20"/>
      <w:szCs w:val="20"/>
    </w:rPr>
  </w:style>
  <w:style w:type="character" w:customStyle="1" w:styleId="FootnoteTextChar">
    <w:name w:val="Footnote Text Char"/>
    <w:basedOn w:val="DefaultParagraphFont"/>
    <w:link w:val="FootnoteText"/>
    <w:uiPriority w:val="99"/>
    <w:rsid w:val="000630AF"/>
    <w:rPr>
      <w:sz w:val="20"/>
      <w:szCs w:val="20"/>
    </w:rPr>
  </w:style>
  <w:style w:type="character" w:styleId="FootnoteReference">
    <w:name w:val="footnote reference"/>
    <w:basedOn w:val="DefaultParagraphFont"/>
    <w:uiPriority w:val="99"/>
    <w:semiHidden/>
    <w:unhideWhenUsed/>
    <w:rsid w:val="00D63E9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886314">
      <w:bodyDiv w:val="1"/>
      <w:marLeft w:val="0"/>
      <w:marRight w:val="0"/>
      <w:marTop w:val="0"/>
      <w:marBottom w:val="0"/>
      <w:divBdr>
        <w:top w:val="none" w:sz="0" w:space="0" w:color="auto"/>
        <w:left w:val="none" w:sz="0" w:space="0" w:color="auto"/>
        <w:bottom w:val="none" w:sz="0" w:space="0" w:color="auto"/>
        <w:right w:val="none" w:sz="0" w:space="0" w:color="auto"/>
      </w:divBdr>
    </w:div>
    <w:div w:id="98180190">
      <w:bodyDiv w:val="1"/>
      <w:marLeft w:val="0"/>
      <w:marRight w:val="0"/>
      <w:marTop w:val="0"/>
      <w:marBottom w:val="0"/>
      <w:divBdr>
        <w:top w:val="none" w:sz="0" w:space="0" w:color="auto"/>
        <w:left w:val="none" w:sz="0" w:space="0" w:color="auto"/>
        <w:bottom w:val="none" w:sz="0" w:space="0" w:color="auto"/>
        <w:right w:val="none" w:sz="0" w:space="0" w:color="auto"/>
      </w:divBdr>
    </w:div>
    <w:div w:id="397363454">
      <w:bodyDiv w:val="1"/>
      <w:marLeft w:val="0"/>
      <w:marRight w:val="0"/>
      <w:marTop w:val="0"/>
      <w:marBottom w:val="0"/>
      <w:divBdr>
        <w:top w:val="none" w:sz="0" w:space="0" w:color="auto"/>
        <w:left w:val="none" w:sz="0" w:space="0" w:color="auto"/>
        <w:bottom w:val="none" w:sz="0" w:space="0" w:color="auto"/>
        <w:right w:val="none" w:sz="0" w:space="0" w:color="auto"/>
      </w:divBdr>
    </w:div>
    <w:div w:id="778337194">
      <w:bodyDiv w:val="1"/>
      <w:marLeft w:val="0"/>
      <w:marRight w:val="0"/>
      <w:marTop w:val="0"/>
      <w:marBottom w:val="0"/>
      <w:divBdr>
        <w:top w:val="none" w:sz="0" w:space="0" w:color="auto"/>
        <w:left w:val="none" w:sz="0" w:space="0" w:color="auto"/>
        <w:bottom w:val="none" w:sz="0" w:space="0" w:color="auto"/>
        <w:right w:val="none" w:sz="0" w:space="0" w:color="auto"/>
      </w:divBdr>
    </w:div>
    <w:div w:id="1023439222">
      <w:bodyDiv w:val="1"/>
      <w:marLeft w:val="0"/>
      <w:marRight w:val="0"/>
      <w:marTop w:val="0"/>
      <w:marBottom w:val="0"/>
      <w:divBdr>
        <w:top w:val="none" w:sz="0" w:space="0" w:color="auto"/>
        <w:left w:val="none" w:sz="0" w:space="0" w:color="auto"/>
        <w:bottom w:val="none" w:sz="0" w:space="0" w:color="auto"/>
        <w:right w:val="none" w:sz="0" w:space="0" w:color="auto"/>
      </w:divBdr>
      <w:divsChild>
        <w:div w:id="25744678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092700222">
      <w:bodyDiv w:val="1"/>
      <w:marLeft w:val="0"/>
      <w:marRight w:val="0"/>
      <w:marTop w:val="0"/>
      <w:marBottom w:val="0"/>
      <w:divBdr>
        <w:top w:val="none" w:sz="0" w:space="0" w:color="auto"/>
        <w:left w:val="none" w:sz="0" w:space="0" w:color="auto"/>
        <w:bottom w:val="none" w:sz="0" w:space="0" w:color="auto"/>
        <w:right w:val="none" w:sz="0" w:space="0" w:color="auto"/>
      </w:divBdr>
    </w:div>
    <w:div w:id="1097824909">
      <w:bodyDiv w:val="1"/>
      <w:marLeft w:val="0"/>
      <w:marRight w:val="0"/>
      <w:marTop w:val="0"/>
      <w:marBottom w:val="0"/>
      <w:divBdr>
        <w:top w:val="none" w:sz="0" w:space="0" w:color="auto"/>
        <w:left w:val="none" w:sz="0" w:space="0" w:color="auto"/>
        <w:bottom w:val="none" w:sz="0" w:space="0" w:color="auto"/>
        <w:right w:val="none" w:sz="0" w:space="0" w:color="auto"/>
      </w:divBdr>
    </w:div>
    <w:div w:id="1248154808">
      <w:bodyDiv w:val="1"/>
      <w:marLeft w:val="0"/>
      <w:marRight w:val="0"/>
      <w:marTop w:val="0"/>
      <w:marBottom w:val="0"/>
      <w:divBdr>
        <w:top w:val="none" w:sz="0" w:space="0" w:color="auto"/>
        <w:left w:val="none" w:sz="0" w:space="0" w:color="auto"/>
        <w:bottom w:val="none" w:sz="0" w:space="0" w:color="auto"/>
        <w:right w:val="none" w:sz="0" w:space="0" w:color="auto"/>
      </w:divBdr>
    </w:div>
    <w:div w:id="1637488255">
      <w:bodyDiv w:val="1"/>
      <w:marLeft w:val="0"/>
      <w:marRight w:val="0"/>
      <w:marTop w:val="0"/>
      <w:marBottom w:val="0"/>
      <w:divBdr>
        <w:top w:val="none" w:sz="0" w:space="0" w:color="auto"/>
        <w:left w:val="none" w:sz="0" w:space="0" w:color="auto"/>
        <w:bottom w:val="none" w:sz="0" w:space="0" w:color="auto"/>
        <w:right w:val="none" w:sz="0" w:space="0" w:color="auto"/>
      </w:divBdr>
    </w:div>
    <w:div w:id="1726560719">
      <w:bodyDiv w:val="1"/>
      <w:marLeft w:val="0"/>
      <w:marRight w:val="0"/>
      <w:marTop w:val="0"/>
      <w:marBottom w:val="0"/>
      <w:divBdr>
        <w:top w:val="none" w:sz="0" w:space="0" w:color="auto"/>
        <w:left w:val="none" w:sz="0" w:space="0" w:color="auto"/>
        <w:bottom w:val="none" w:sz="0" w:space="0" w:color="auto"/>
        <w:right w:val="none" w:sz="0" w:space="0" w:color="auto"/>
      </w:divBdr>
    </w:div>
    <w:div w:id="1921871027">
      <w:bodyDiv w:val="1"/>
      <w:marLeft w:val="0"/>
      <w:marRight w:val="0"/>
      <w:marTop w:val="0"/>
      <w:marBottom w:val="0"/>
      <w:divBdr>
        <w:top w:val="none" w:sz="0" w:space="0" w:color="auto"/>
        <w:left w:val="none" w:sz="0" w:space="0" w:color="auto"/>
        <w:bottom w:val="none" w:sz="0" w:space="0" w:color="auto"/>
        <w:right w:val="none" w:sz="0" w:space="0" w:color="auto"/>
      </w:divBdr>
    </w:div>
    <w:div w:id="1979919563">
      <w:bodyDiv w:val="1"/>
      <w:marLeft w:val="0"/>
      <w:marRight w:val="0"/>
      <w:marTop w:val="0"/>
      <w:marBottom w:val="0"/>
      <w:divBdr>
        <w:top w:val="none" w:sz="0" w:space="0" w:color="auto"/>
        <w:left w:val="none" w:sz="0" w:space="0" w:color="auto"/>
        <w:bottom w:val="none" w:sz="0" w:space="0" w:color="auto"/>
        <w:right w:val="none" w:sz="0" w:space="0" w:color="auto"/>
      </w:divBdr>
    </w:div>
    <w:div w:id="2030837259">
      <w:bodyDiv w:val="1"/>
      <w:marLeft w:val="0"/>
      <w:marRight w:val="0"/>
      <w:marTop w:val="0"/>
      <w:marBottom w:val="0"/>
      <w:divBdr>
        <w:top w:val="none" w:sz="0" w:space="0" w:color="auto"/>
        <w:left w:val="none" w:sz="0" w:space="0" w:color="auto"/>
        <w:bottom w:val="none" w:sz="0" w:space="0" w:color="auto"/>
        <w:right w:val="none" w:sz="0" w:space="0" w:color="auto"/>
      </w:divBdr>
    </w:div>
    <w:div w:id="21149327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www.linkedin.com/company/scorpio-gold-coporation/about/?viewAsMember=true"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scorpiogold.com/contact/subscribe/" TargetMode="External"/><Relationship Id="rId7" Type="http://schemas.openxmlformats.org/officeDocument/2006/relationships/footnotes" Target="footnotes.xml"/><Relationship Id="rId12" Type="http://schemas.openxmlformats.org/officeDocument/2006/relationships/hyperlink" Target="https://www.kinross.com/operations/default.aspx" TargetMode="External"/><Relationship Id="rId17" Type="http://schemas.openxmlformats.org/officeDocument/2006/relationships/hyperlink" Target="https://www.facebook.com/profile.php?id=61556975236485"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scorpiogold.com/contact/subscribe/" TargetMode="External"/><Relationship Id="rId20" Type="http://schemas.openxmlformats.org/officeDocument/2006/relationships/hyperlink" Target="https://www.youtube.com/channel/UCSOkmL5DnhgAD7pdXTcbbf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zayn@scorpiogold.com" TargetMode="External"/><Relationship Id="rId23" Type="http://schemas.openxmlformats.org/officeDocument/2006/relationships/header" Target="header2.xml"/><Relationship Id="rId10" Type="http://schemas.openxmlformats.org/officeDocument/2006/relationships/hyperlink" Target="http://www.scorpiogold.com" TargetMode="External"/><Relationship Id="rId19" Type="http://schemas.openxmlformats.org/officeDocument/2006/relationships/hyperlink" Target="https://twitter.com/NewScorpioGold"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SGN@kincommunications.com"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12" row="4">
    <wetp:webextensionref xmlns:r="http://schemas.openxmlformats.org/officeDocument/2006/relationships" r:id="rId1"/>
  </wetp:taskpane>
  <wetp:taskpane dockstate="right" visibility="0" width="350" row="2">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4D96DA6F-760B-49C6-A8D0-0E9A0E07F11C}">
  <we:reference id="wa200004774" version="1.7.0.0" store="en-US" storeType="OMEX"/>
  <we:alternateReferences>
    <we:reference id="wa200004774" version="1.7.0.0" store="" storeType="OMEX"/>
  </we:alternateReferences>
  <we:properties>
    <we:property name="documentId" value="&quot;7cb064a4-9528-4360-a089-ebecebfdae8a&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9F2BFDFC-75BF-4997-A3A9-F76E2AA8BF6B}">
  <we:reference id="WA200007271" version="1.0.0.3" store="Omex" storeType="OMEX"/>
  <we:alternateReferences>
    <we:reference id="WA200007271" version="1.0.0.3" store="WA20000727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KiLzK9ck+EvjPSbkSWiZB/X6QA==">CgMxLjAyCGguZ2pkZ3hzOAByITFxaHRPcFJhMzA3M0Ryc0JQRnhPV1lUcXJ5UHBxLUJOSA==</go:docsCustomData>
</go:gDocsCustomXmlDataStorage>
</file>

<file path=customXml/itemProps1.xml><?xml version="1.0" encoding="utf-8"?>
<ds:datastoreItem xmlns:ds="http://schemas.openxmlformats.org/officeDocument/2006/customXml" ds:itemID="{3D1CA092-EDE8-40FA-9A7F-FEDA74ADFDE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5</Pages>
  <Words>2404</Words>
  <Characters>13707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Leitao</dc:creator>
  <cp:lastModifiedBy>Zayn Kalyan</cp:lastModifiedBy>
  <cp:revision>10</cp:revision>
  <dcterms:created xsi:type="dcterms:W3CDTF">2026-01-13T21:06:00Z</dcterms:created>
  <dcterms:modified xsi:type="dcterms:W3CDTF">2026-01-14T16:25:00Z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doc1be74b01e58db704">
    <vt:lpwstr>019bb930-a888-7372-8be5-202fc5c6843d</vt:lpwstr>
  </property>
</Properties>
</file>