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3D074" w14:textId="21A6FC3F" w:rsidR="00D90436" w:rsidRPr="00345136" w:rsidRDefault="00D90436" w:rsidP="00D90436">
      <w:pPr>
        <w:rPr>
          <w:b/>
          <w:bCs/>
          <w:sz w:val="28"/>
          <w:szCs w:val="28"/>
        </w:rPr>
      </w:pPr>
    </w:p>
    <w:p w14:paraId="45BB726B" w14:textId="77777777" w:rsidR="004336ED" w:rsidRPr="00345136" w:rsidRDefault="004336ED">
      <w:pPr>
        <w:jc w:val="right"/>
        <w:rPr>
          <w:sz w:val="18"/>
          <w:szCs w:val="18"/>
        </w:rPr>
      </w:pPr>
      <w:r w:rsidRPr="00345136">
        <w:rPr>
          <w:noProof/>
          <w:sz w:val="18"/>
          <w:szCs w:val="18"/>
        </w:rPr>
        <w:drawing>
          <wp:anchor distT="0" distB="0" distL="114300" distR="114300" simplePos="0" relativeHeight="251658240" behindDoc="0" locked="0" layoutInCell="1" allowOverlap="1" wp14:anchorId="4DA01A29" wp14:editId="121871DC">
            <wp:simplePos x="0" y="0"/>
            <wp:positionH relativeFrom="column">
              <wp:posOffset>41059</wp:posOffset>
            </wp:positionH>
            <wp:positionV relativeFrom="paragraph">
              <wp:posOffset>41</wp:posOffset>
            </wp:positionV>
            <wp:extent cx="2185670" cy="524510"/>
            <wp:effectExtent l="0" t="0" r="0" b="0"/>
            <wp:wrapSquare wrapText="bothSides"/>
            <wp:docPr id="5671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352" name="Picture 567173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5670" cy="524510"/>
                    </a:xfrm>
                    <a:prstGeom prst="rect">
                      <a:avLst/>
                    </a:prstGeom>
                  </pic:spPr>
                </pic:pic>
              </a:graphicData>
            </a:graphic>
            <wp14:sizeRelH relativeFrom="page">
              <wp14:pctWidth>0</wp14:pctWidth>
            </wp14:sizeRelH>
            <wp14:sizeRelV relativeFrom="page">
              <wp14:pctHeight>0</wp14:pctHeight>
            </wp14:sizeRelV>
          </wp:anchor>
        </w:drawing>
      </w:r>
      <w:r w:rsidRPr="00345136">
        <w:rPr>
          <w:sz w:val="18"/>
          <w:szCs w:val="18"/>
        </w:rPr>
        <w:t>TSXV: SGN</w:t>
      </w:r>
    </w:p>
    <w:p w14:paraId="43213A94" w14:textId="77777777" w:rsidR="004336ED" w:rsidRPr="00345136" w:rsidRDefault="004336ED">
      <w:pPr>
        <w:jc w:val="right"/>
        <w:rPr>
          <w:sz w:val="18"/>
          <w:szCs w:val="18"/>
        </w:rPr>
      </w:pPr>
      <w:r w:rsidRPr="00345136">
        <w:rPr>
          <w:sz w:val="18"/>
          <w:szCs w:val="18"/>
        </w:rPr>
        <w:t>#750-1095 W. Pender St.</w:t>
      </w:r>
    </w:p>
    <w:p w14:paraId="6CD11315" w14:textId="77777777" w:rsidR="004336ED" w:rsidRPr="00345136" w:rsidRDefault="004336ED">
      <w:pPr>
        <w:jc w:val="right"/>
        <w:rPr>
          <w:sz w:val="18"/>
          <w:szCs w:val="18"/>
        </w:rPr>
      </w:pPr>
      <w:r w:rsidRPr="00345136">
        <w:rPr>
          <w:sz w:val="18"/>
          <w:szCs w:val="18"/>
        </w:rPr>
        <w:t>Vancouver, BC V6E2M6</w:t>
      </w:r>
    </w:p>
    <w:p w14:paraId="2BD60C3C" w14:textId="77777777" w:rsidR="004336ED" w:rsidRPr="00345136" w:rsidRDefault="004336ED">
      <w:pPr>
        <w:jc w:val="right"/>
        <w:rPr>
          <w:sz w:val="18"/>
          <w:szCs w:val="18"/>
        </w:rPr>
      </w:pPr>
      <w:r w:rsidRPr="00345136">
        <w:rPr>
          <w:color w:val="1155CC"/>
          <w:sz w:val="18"/>
          <w:szCs w:val="18"/>
          <w:u w:val="single"/>
        </w:rPr>
        <w:t>WWW.SCORPIOGOLD.COM</w:t>
      </w:r>
    </w:p>
    <w:p w14:paraId="33F3B7F8" w14:textId="77777777" w:rsidR="00BB20B3" w:rsidRPr="00345136" w:rsidRDefault="00BB20B3" w:rsidP="00BB20B3">
      <w:pPr>
        <w:rPr>
          <w:b/>
          <w:bCs/>
          <w:sz w:val="28"/>
          <w:szCs w:val="28"/>
        </w:rPr>
      </w:pPr>
    </w:p>
    <w:p w14:paraId="27E57711" w14:textId="3B4171D0" w:rsidR="00BB20B3" w:rsidRPr="00345136" w:rsidRDefault="00BB20B3" w:rsidP="00BB20B3">
      <w:pPr>
        <w:spacing w:line="240" w:lineRule="auto"/>
        <w:jc w:val="center"/>
        <w:rPr>
          <w:b/>
          <w:bCs/>
          <w:sz w:val="28"/>
          <w:szCs w:val="28"/>
        </w:rPr>
      </w:pPr>
      <w:r w:rsidRPr="00345136">
        <w:rPr>
          <w:b/>
          <w:bCs/>
          <w:sz w:val="28"/>
          <w:szCs w:val="28"/>
        </w:rPr>
        <w:t xml:space="preserve">SCORPIO GOLD </w:t>
      </w:r>
      <w:r w:rsidR="00897503" w:rsidRPr="00345136">
        <w:rPr>
          <w:b/>
          <w:bCs/>
          <w:sz w:val="28"/>
          <w:szCs w:val="28"/>
        </w:rPr>
        <w:t>DRILLS</w:t>
      </w:r>
      <w:r w:rsidR="005F0CB4" w:rsidRPr="00345136">
        <w:rPr>
          <w:b/>
          <w:bCs/>
          <w:sz w:val="28"/>
          <w:szCs w:val="28"/>
        </w:rPr>
        <w:t xml:space="preserve"> </w:t>
      </w:r>
      <w:r w:rsidR="00645F86" w:rsidRPr="00345136">
        <w:rPr>
          <w:b/>
          <w:bCs/>
          <w:sz w:val="28"/>
          <w:szCs w:val="28"/>
        </w:rPr>
        <w:t xml:space="preserve">25.02 METRES GRADING 0.76 G/T GOLD, FROM </w:t>
      </w:r>
      <w:r w:rsidR="00E53EFA" w:rsidRPr="00345136">
        <w:rPr>
          <w:b/>
          <w:bCs/>
          <w:sz w:val="28"/>
          <w:szCs w:val="28"/>
        </w:rPr>
        <w:t>138.35 METRES ALONG THE RELIANCE TREND AT</w:t>
      </w:r>
      <w:r w:rsidRPr="00345136">
        <w:rPr>
          <w:b/>
          <w:bCs/>
          <w:sz w:val="28"/>
          <w:szCs w:val="28"/>
        </w:rPr>
        <w:t xml:space="preserve"> THE MANHATTAN DISTRICT, NEVADA</w:t>
      </w:r>
    </w:p>
    <w:p w14:paraId="29159614" w14:textId="77777777" w:rsidR="00BB20B3" w:rsidRPr="00345136" w:rsidRDefault="00BB20B3" w:rsidP="00BB20B3">
      <w:pPr>
        <w:spacing w:line="240" w:lineRule="auto"/>
        <w:rPr>
          <w:highlight w:val="yellow"/>
        </w:rPr>
      </w:pPr>
    </w:p>
    <w:p w14:paraId="3C2B3B02" w14:textId="77777777" w:rsidR="00BB20B3" w:rsidRPr="00345136" w:rsidRDefault="00BB20B3" w:rsidP="00BB20B3">
      <w:pPr>
        <w:spacing w:line="240" w:lineRule="auto"/>
        <w:jc w:val="both"/>
        <w:rPr>
          <w:b/>
          <w:bCs/>
        </w:rPr>
      </w:pPr>
      <w:r w:rsidRPr="00345136">
        <w:rPr>
          <w:b/>
          <w:bCs/>
        </w:rPr>
        <w:t>Highlights</w:t>
      </w:r>
    </w:p>
    <w:p w14:paraId="0E2AC314" w14:textId="7CE1D337" w:rsidR="00BB20B3" w:rsidRPr="00345136" w:rsidRDefault="00BB20B3" w:rsidP="007D5397">
      <w:pPr>
        <w:pStyle w:val="ListParagraph"/>
        <w:numPr>
          <w:ilvl w:val="0"/>
          <w:numId w:val="7"/>
        </w:numPr>
        <w:spacing w:line="240" w:lineRule="auto"/>
        <w:jc w:val="both"/>
      </w:pPr>
      <w:r w:rsidRPr="00345136">
        <w:t>Hole 2</w:t>
      </w:r>
      <w:r w:rsidR="00F57619" w:rsidRPr="00345136">
        <w:t>5</w:t>
      </w:r>
      <w:r w:rsidRPr="00345136">
        <w:t>MN-03</w:t>
      </w:r>
      <w:r w:rsidR="003F6C88" w:rsidRPr="00345136">
        <w:t>6</w:t>
      </w:r>
      <w:r w:rsidRPr="00345136">
        <w:t xml:space="preserve"> returned </w:t>
      </w:r>
      <w:r w:rsidR="007D5397" w:rsidRPr="00345136">
        <w:rPr>
          <w:b/>
          <w:bCs/>
        </w:rPr>
        <w:t>0.76</w:t>
      </w:r>
      <w:r w:rsidRPr="00345136">
        <w:rPr>
          <w:b/>
          <w:bCs/>
        </w:rPr>
        <w:t xml:space="preserve"> g/t gold over </w:t>
      </w:r>
      <w:r w:rsidR="007D5397" w:rsidRPr="00345136">
        <w:rPr>
          <w:b/>
          <w:bCs/>
        </w:rPr>
        <w:t>25.02</w:t>
      </w:r>
      <w:r w:rsidRPr="00345136">
        <w:rPr>
          <w:b/>
          <w:bCs/>
        </w:rPr>
        <w:t xml:space="preserve"> metres</w:t>
      </w:r>
      <w:r w:rsidRPr="00345136">
        <w:t xml:space="preserve">, including </w:t>
      </w:r>
      <w:r w:rsidR="00555140" w:rsidRPr="00345136">
        <w:rPr>
          <w:b/>
          <w:bCs/>
        </w:rPr>
        <w:t>2.23</w:t>
      </w:r>
      <w:r w:rsidRPr="00345136">
        <w:rPr>
          <w:b/>
          <w:bCs/>
        </w:rPr>
        <w:t xml:space="preserve"> g/t gold over </w:t>
      </w:r>
      <w:r w:rsidR="00555140" w:rsidRPr="00345136">
        <w:rPr>
          <w:b/>
          <w:bCs/>
        </w:rPr>
        <w:t>7.47</w:t>
      </w:r>
      <w:r w:rsidRPr="00345136">
        <w:rPr>
          <w:b/>
          <w:bCs/>
        </w:rPr>
        <w:t xml:space="preserve"> metres</w:t>
      </w:r>
      <w:r w:rsidRPr="00345136">
        <w:t>.</w:t>
      </w:r>
    </w:p>
    <w:p w14:paraId="7306CD5D" w14:textId="68DA9D74" w:rsidR="00BB20B3" w:rsidRPr="00345136" w:rsidRDefault="00BB20B3" w:rsidP="00BB20B3">
      <w:pPr>
        <w:pStyle w:val="ListParagraph"/>
        <w:numPr>
          <w:ilvl w:val="0"/>
          <w:numId w:val="7"/>
        </w:numPr>
        <w:spacing w:line="240" w:lineRule="auto"/>
        <w:jc w:val="both"/>
      </w:pPr>
      <w:r w:rsidRPr="00345136">
        <w:t>12 unreported holes, totalling 3,</w:t>
      </w:r>
      <w:r w:rsidR="00514326" w:rsidRPr="00345136">
        <w:t>322</w:t>
      </w:r>
      <w:r w:rsidRPr="00345136">
        <w:t xml:space="preserve"> m, have been completed and are pending assays (2</w:t>
      </w:r>
      <w:r w:rsidR="00555140" w:rsidRPr="00345136">
        <w:t>5</w:t>
      </w:r>
      <w:r w:rsidRPr="00345136">
        <w:t>MN-03</w:t>
      </w:r>
      <w:r w:rsidR="00555140" w:rsidRPr="00345136">
        <w:t>7</w:t>
      </w:r>
      <w:r w:rsidRPr="00345136">
        <w:t xml:space="preserve"> through 2</w:t>
      </w:r>
      <w:r w:rsidR="00555140" w:rsidRPr="00345136">
        <w:t>5</w:t>
      </w:r>
      <w:r w:rsidRPr="00345136">
        <w:t>MN-045</w:t>
      </w:r>
      <w:r w:rsidR="00555140" w:rsidRPr="00345136">
        <w:t>, 26MN-046 through 26MN-048</w:t>
      </w:r>
      <w:r w:rsidRPr="00345136">
        <w:t>).</w:t>
      </w:r>
    </w:p>
    <w:p w14:paraId="67016B15" w14:textId="77777777" w:rsidR="00BB20B3" w:rsidRPr="00345136" w:rsidRDefault="00BB20B3" w:rsidP="00BB20B3">
      <w:pPr>
        <w:spacing w:line="240" w:lineRule="auto"/>
        <w:jc w:val="both"/>
        <w:rPr>
          <w:b/>
          <w:bCs/>
          <w:highlight w:val="yellow"/>
        </w:rPr>
      </w:pPr>
    </w:p>
    <w:p w14:paraId="3C760009" w14:textId="55FC7632" w:rsidR="00BB20B3" w:rsidRPr="00345136" w:rsidRDefault="00042FBC" w:rsidP="00BB20B3">
      <w:pPr>
        <w:spacing w:line="240" w:lineRule="auto"/>
        <w:jc w:val="both"/>
      </w:pPr>
      <w:r w:rsidRPr="00345136">
        <w:rPr>
          <w:b/>
          <w:bCs/>
        </w:rPr>
        <w:t>January</w:t>
      </w:r>
      <w:r w:rsidR="00BB20B3" w:rsidRPr="00345136">
        <w:rPr>
          <w:b/>
          <w:bCs/>
        </w:rPr>
        <w:t xml:space="preserve"> </w:t>
      </w:r>
      <w:r w:rsidR="000C6BF9" w:rsidRPr="00345136">
        <w:rPr>
          <w:b/>
          <w:bCs/>
        </w:rPr>
        <w:t>23</w:t>
      </w:r>
      <w:r w:rsidR="00BB20B3" w:rsidRPr="00345136">
        <w:rPr>
          <w:b/>
          <w:bCs/>
        </w:rPr>
        <w:t>, 202</w:t>
      </w:r>
      <w:r w:rsidRPr="00345136">
        <w:rPr>
          <w:b/>
          <w:bCs/>
        </w:rPr>
        <w:t>6</w:t>
      </w:r>
      <w:r w:rsidR="00BB20B3" w:rsidRPr="00345136">
        <w:rPr>
          <w:b/>
          <w:bCs/>
        </w:rPr>
        <w:t xml:space="preserve"> - Vancouver, British Columbia – Scorpio Gold Corp.</w:t>
      </w:r>
      <w:r w:rsidR="00BB20B3" w:rsidRPr="00345136">
        <w:t xml:space="preserve"> </w:t>
      </w:r>
      <w:r w:rsidR="00BB20B3" w:rsidRPr="00345136">
        <w:rPr>
          <w:b/>
          <w:bCs/>
        </w:rPr>
        <w:t>(TSX-V: SGN, OTCQB: SRCRF, FSE: RY9)</w:t>
      </w:r>
      <w:r w:rsidR="00BB20B3" w:rsidRPr="00345136">
        <w:t xml:space="preserve"> (“</w:t>
      </w:r>
      <w:r w:rsidR="00BB20B3" w:rsidRPr="00345136">
        <w:rPr>
          <w:b/>
          <w:bCs/>
        </w:rPr>
        <w:t>Scorpio Gold</w:t>
      </w:r>
      <w:r w:rsidR="00BB20B3" w:rsidRPr="00345136">
        <w:t>”, or the “</w:t>
      </w:r>
      <w:r w:rsidR="00BB20B3" w:rsidRPr="00345136">
        <w:rPr>
          <w:b/>
          <w:bCs/>
        </w:rPr>
        <w:t>Company</w:t>
      </w:r>
      <w:r w:rsidR="00BB20B3" w:rsidRPr="00345136">
        <w:t xml:space="preserve">”) is pleased to announce results from </w:t>
      </w:r>
      <w:r w:rsidR="007D0101" w:rsidRPr="00345136">
        <w:t>three</w:t>
      </w:r>
      <w:r w:rsidR="00BB20B3" w:rsidRPr="00345136">
        <w:t xml:space="preserve"> holes from its 2025 drilling program at the Manhattan District Project (“</w:t>
      </w:r>
      <w:r w:rsidR="00BB20B3" w:rsidRPr="00345136">
        <w:rPr>
          <w:b/>
          <w:bCs/>
        </w:rPr>
        <w:t>Manhattan</w:t>
      </w:r>
      <w:r w:rsidR="00BB20B3" w:rsidRPr="00345136">
        <w:t>”), Nevada, USA: from the Phase Two program (25MN-0</w:t>
      </w:r>
      <w:r w:rsidR="00480928" w:rsidRPr="00345136">
        <w:t>34</w:t>
      </w:r>
      <w:r w:rsidR="00BB20B3" w:rsidRPr="00345136">
        <w:t xml:space="preserve"> through 25MN-03</w:t>
      </w:r>
      <w:r w:rsidR="00480928" w:rsidRPr="00345136">
        <w:t>6</w:t>
      </w:r>
      <w:r w:rsidR="00BB20B3" w:rsidRPr="00345136">
        <w:t xml:space="preserve">). The results are tabulated in </w:t>
      </w:r>
      <w:r w:rsidR="00BB20B3" w:rsidRPr="00170128">
        <w:rPr>
          <w:b/>
          <w:bCs/>
        </w:rPr>
        <w:t>Table 1</w:t>
      </w:r>
      <w:r w:rsidR="00BB20B3" w:rsidRPr="00345136">
        <w:t xml:space="preserve"> and discussed below. Scorpio Gold</w:t>
      </w:r>
      <w:r w:rsidR="00480928" w:rsidRPr="00345136">
        <w:t xml:space="preserve"> </w:t>
      </w:r>
      <w:r w:rsidR="003717E9" w:rsidRPr="00345136">
        <w:t xml:space="preserve">has </w:t>
      </w:r>
      <w:r w:rsidR="00BB20B3" w:rsidRPr="00345136">
        <w:t xml:space="preserve">drilled </w:t>
      </w:r>
      <w:r w:rsidR="00E14DEE" w:rsidRPr="00345136">
        <w:t>38 drill</w:t>
      </w:r>
      <w:r w:rsidR="00BB20B3" w:rsidRPr="00345136">
        <w:t xml:space="preserve"> holes </w:t>
      </w:r>
      <w:r w:rsidR="000E21B1" w:rsidRPr="00345136">
        <w:t>to date from its Phase Two diamond drilling program</w:t>
      </w:r>
      <w:r w:rsidR="00BB20B3" w:rsidRPr="00345136">
        <w:t xml:space="preserve">, </w:t>
      </w:r>
      <w:r w:rsidR="00480928" w:rsidRPr="00345136">
        <w:t>25MN</w:t>
      </w:r>
      <w:r w:rsidR="00BB20B3" w:rsidRPr="00345136">
        <w:t>-</w:t>
      </w:r>
      <w:r w:rsidR="001449D4" w:rsidRPr="00345136">
        <w:t>0</w:t>
      </w:r>
      <w:r w:rsidR="00BB20B3" w:rsidRPr="00345136">
        <w:t>11 through 25</w:t>
      </w:r>
      <w:r w:rsidR="00480928" w:rsidRPr="00345136">
        <w:t>MN</w:t>
      </w:r>
      <w:r w:rsidR="00BB20B3" w:rsidRPr="00345136">
        <w:t>-</w:t>
      </w:r>
      <w:r w:rsidR="001449D4" w:rsidRPr="00345136">
        <w:t>0</w:t>
      </w:r>
      <w:r w:rsidR="00BB20B3" w:rsidRPr="00345136">
        <w:t>45</w:t>
      </w:r>
      <w:r w:rsidR="000E21B1" w:rsidRPr="00345136">
        <w:t xml:space="preserve"> and </w:t>
      </w:r>
      <w:r w:rsidR="009C206C" w:rsidRPr="00345136">
        <w:t>26MN-046 through 26MN-048,</w:t>
      </w:r>
      <w:r w:rsidR="000E21B1" w:rsidRPr="00345136">
        <w:t xml:space="preserve"> </w:t>
      </w:r>
      <w:r w:rsidR="001449D4" w:rsidRPr="00345136">
        <w:t xml:space="preserve">for a grand total of </w:t>
      </w:r>
      <w:r w:rsidR="000E21B1" w:rsidRPr="00170128">
        <w:rPr>
          <w:b/>
          <w:bCs/>
        </w:rPr>
        <w:t>11,90</w:t>
      </w:r>
      <w:r w:rsidR="00DD2D40" w:rsidRPr="00170128">
        <w:rPr>
          <w:b/>
          <w:bCs/>
        </w:rPr>
        <w:t>6</w:t>
      </w:r>
      <w:r w:rsidR="001449D4" w:rsidRPr="00170128">
        <w:rPr>
          <w:b/>
          <w:bCs/>
        </w:rPr>
        <w:t xml:space="preserve"> m</w:t>
      </w:r>
      <w:r w:rsidR="001449D4" w:rsidRPr="00345136">
        <w:t>.</w:t>
      </w:r>
      <w:r w:rsidR="00BB20B3" w:rsidRPr="00345136">
        <w:t xml:space="preserve"> With the results herein, Scorpio Gold has reported assays on 2</w:t>
      </w:r>
      <w:r w:rsidR="00B03FF6" w:rsidRPr="00345136">
        <w:t>6</w:t>
      </w:r>
      <w:r w:rsidR="00BB20B3" w:rsidRPr="00345136">
        <w:t xml:space="preserve"> of these (25</w:t>
      </w:r>
      <w:r w:rsidR="001449D4" w:rsidRPr="00345136">
        <w:t>MN</w:t>
      </w:r>
      <w:r w:rsidR="00BB20B3" w:rsidRPr="00345136">
        <w:t>-</w:t>
      </w:r>
      <w:r w:rsidR="001449D4" w:rsidRPr="00345136">
        <w:t>0</w:t>
      </w:r>
      <w:r w:rsidR="00BB20B3" w:rsidRPr="00345136">
        <w:t>11 through 25</w:t>
      </w:r>
      <w:r w:rsidR="001449D4" w:rsidRPr="00345136">
        <w:t>MN</w:t>
      </w:r>
      <w:r w:rsidR="00BB20B3" w:rsidRPr="00345136">
        <w:t>-</w:t>
      </w:r>
      <w:r w:rsidR="001449D4" w:rsidRPr="00345136">
        <w:t>0</w:t>
      </w:r>
      <w:r w:rsidR="00BB20B3" w:rsidRPr="00345136">
        <w:t>3</w:t>
      </w:r>
      <w:r w:rsidR="001449D4" w:rsidRPr="00345136">
        <w:t>6</w:t>
      </w:r>
      <w:r w:rsidR="00BB20B3" w:rsidRPr="00345136">
        <w:t xml:space="preserve">), totalling </w:t>
      </w:r>
      <w:r w:rsidR="008B5FAF" w:rsidRPr="00345136">
        <w:t>8,584</w:t>
      </w:r>
      <w:r w:rsidR="00BB20B3" w:rsidRPr="00345136">
        <w:t xml:space="preserve"> m, and assays are pending from </w:t>
      </w:r>
      <w:r w:rsidR="008B5FAF" w:rsidRPr="00345136">
        <w:t>12</w:t>
      </w:r>
      <w:r w:rsidR="00BB20B3" w:rsidRPr="00345136">
        <w:t xml:space="preserve"> holes (25MN-03</w:t>
      </w:r>
      <w:r w:rsidR="00295F4A" w:rsidRPr="00345136">
        <w:t>7</w:t>
      </w:r>
      <w:r w:rsidR="00BB20B3" w:rsidRPr="00345136">
        <w:t xml:space="preserve"> through 25MN-045</w:t>
      </w:r>
      <w:r w:rsidR="00D93A9C" w:rsidRPr="00345136">
        <w:t xml:space="preserve"> and</w:t>
      </w:r>
      <w:r w:rsidR="00295F4A" w:rsidRPr="00345136">
        <w:t xml:space="preserve"> 26MN-0</w:t>
      </w:r>
      <w:r w:rsidR="00D93A9C" w:rsidRPr="00345136">
        <w:t>46 through 26MN-048</w:t>
      </w:r>
      <w:r w:rsidR="00BB20B3" w:rsidRPr="00345136">
        <w:t>), totalling 3,</w:t>
      </w:r>
      <w:r w:rsidR="008B5FAF" w:rsidRPr="00345136">
        <w:t>32</w:t>
      </w:r>
      <w:r w:rsidR="00DD2D40" w:rsidRPr="00345136">
        <w:t>2</w:t>
      </w:r>
      <w:r w:rsidR="00BB20B3" w:rsidRPr="00345136">
        <w:t xml:space="preserve"> m. The pending results will be reported as they come available and </w:t>
      </w:r>
      <w:r w:rsidR="00D93A9C" w:rsidRPr="00345136">
        <w:t xml:space="preserve">the holes </w:t>
      </w:r>
      <w:r w:rsidR="00BB20B3" w:rsidRPr="00345136">
        <w:t xml:space="preserve">are discussed </w:t>
      </w:r>
      <w:r w:rsidR="00D93A9C" w:rsidRPr="00345136">
        <w:t xml:space="preserve">briefly </w:t>
      </w:r>
      <w:r w:rsidR="00BB20B3" w:rsidRPr="00345136">
        <w:t>below.</w:t>
      </w:r>
    </w:p>
    <w:p w14:paraId="63976A44" w14:textId="0113FD8B" w:rsidR="00BB20B3" w:rsidRPr="00345136" w:rsidRDefault="00BB20B3" w:rsidP="00BB20B3">
      <w:pPr>
        <w:spacing w:line="240" w:lineRule="auto"/>
        <w:jc w:val="both"/>
        <w:rPr>
          <w:highlight w:val="yellow"/>
        </w:rPr>
      </w:pPr>
    </w:p>
    <w:p w14:paraId="47E8EFEC" w14:textId="2B7D7D5C" w:rsidR="53688D97" w:rsidRPr="00345136" w:rsidRDefault="53688D97" w:rsidP="00324945">
      <w:pPr>
        <w:spacing w:line="240" w:lineRule="auto"/>
        <w:jc w:val="both"/>
        <w:rPr>
          <w:b/>
          <w:bCs/>
        </w:rPr>
      </w:pPr>
      <w:r w:rsidRPr="00345136">
        <w:t xml:space="preserve">“We have started the year with strong operational momentum, with drilling progressing steadily across the Manhattan District and twelve completed holes currently in the lab awaiting results. Our focus in 2026 is on delivering results to the market in a consistent and disciplined manner while working towards adding </w:t>
      </w:r>
      <w:r w:rsidR="00324945" w:rsidRPr="00345136">
        <w:t>inventory</w:t>
      </w:r>
      <w:r w:rsidRPr="00345136">
        <w:t xml:space="preserve"> </w:t>
      </w:r>
      <w:r w:rsidR="09DA0344" w:rsidRPr="00345136">
        <w:t>to our res</w:t>
      </w:r>
      <w:r w:rsidR="51D48409" w:rsidRPr="00345136">
        <w:t>ource</w:t>
      </w:r>
      <w:r w:rsidR="09DA0344" w:rsidRPr="00345136">
        <w:t xml:space="preserve"> and</w:t>
      </w:r>
      <w:r w:rsidRPr="00345136">
        <w:t xml:space="preserve"> continuing to advance our geological understanding of the district. In parallel with drilling within the current resource area, we are positioning one of our three active rigs to test targets outside the core resource footprint, </w:t>
      </w:r>
      <w:r w:rsidR="3F9B7171" w:rsidRPr="00345136">
        <w:t>beginning</w:t>
      </w:r>
      <w:r w:rsidRPr="00345136">
        <w:t xml:space="preserve"> </w:t>
      </w:r>
      <w:r w:rsidR="3F9B7171" w:rsidRPr="00345136">
        <w:t xml:space="preserve">with a two-hole program at Black Mammoth commencing the last week of </w:t>
      </w:r>
      <w:r w:rsidR="00324945" w:rsidRPr="00345136">
        <w:t>January</w:t>
      </w:r>
      <w:r w:rsidR="3F9B7171" w:rsidRPr="00345136">
        <w:t xml:space="preserve">. </w:t>
      </w:r>
      <w:r w:rsidRPr="00345136">
        <w:t xml:space="preserve"> This work is designed to evaluate the broader district-scale potential of Manhattan and to identify new zones of mineralization that could support future resource growth,” commented </w:t>
      </w:r>
      <w:r w:rsidRPr="00345136">
        <w:rPr>
          <w:b/>
          <w:bCs/>
        </w:rPr>
        <w:t>Zayn Kalyan, CEO and Director of Scorpio Gold.</w:t>
      </w:r>
    </w:p>
    <w:p w14:paraId="6D4D1F65" w14:textId="35E788EE" w:rsidR="00E7698C" w:rsidRPr="00345136" w:rsidRDefault="00613D3F" w:rsidP="00E7698C">
      <w:pPr>
        <w:pStyle w:val="p1"/>
        <w:jc w:val="both"/>
      </w:pPr>
      <w:r w:rsidRPr="00345136">
        <w:rPr>
          <w:rFonts w:ascii="Arial" w:hAnsi="Arial" w:cs="Arial"/>
          <w:sz w:val="22"/>
          <w:szCs w:val="22"/>
        </w:rPr>
        <w:t>T</w:t>
      </w:r>
      <w:r w:rsidR="00DC1DA2" w:rsidRPr="00345136">
        <w:rPr>
          <w:rFonts w:ascii="Arial" w:hAnsi="Arial" w:cs="Arial"/>
          <w:sz w:val="22"/>
          <w:szCs w:val="22"/>
        </w:rPr>
        <w:t>wo</w:t>
      </w:r>
      <w:r w:rsidRPr="00345136">
        <w:rPr>
          <w:rFonts w:ascii="Arial" w:hAnsi="Arial" w:cs="Arial"/>
          <w:sz w:val="22"/>
          <w:szCs w:val="22"/>
        </w:rPr>
        <w:t xml:space="preserve"> holes were drilled </w:t>
      </w:r>
      <w:r w:rsidR="00DC1DA2" w:rsidRPr="00345136">
        <w:rPr>
          <w:rFonts w:ascii="Arial" w:hAnsi="Arial" w:cs="Arial"/>
          <w:sz w:val="22"/>
          <w:szCs w:val="22"/>
        </w:rPr>
        <w:t>along the Reliance Trend</w:t>
      </w:r>
      <w:r w:rsidRPr="00345136">
        <w:rPr>
          <w:rFonts w:ascii="Arial" w:hAnsi="Arial" w:cs="Arial"/>
          <w:sz w:val="22"/>
          <w:szCs w:val="22"/>
        </w:rPr>
        <w:t xml:space="preserve"> (</w:t>
      </w:r>
      <w:r w:rsidR="0071266E" w:rsidRPr="00345136">
        <w:rPr>
          <w:rFonts w:ascii="Arial" w:hAnsi="Arial" w:cs="Arial"/>
          <w:sz w:val="22"/>
          <w:szCs w:val="22"/>
        </w:rPr>
        <w:t>25MN</w:t>
      </w:r>
      <w:r w:rsidRPr="00345136">
        <w:rPr>
          <w:rFonts w:ascii="Arial" w:hAnsi="Arial" w:cs="Arial"/>
          <w:sz w:val="22"/>
          <w:szCs w:val="22"/>
        </w:rPr>
        <w:t>-0</w:t>
      </w:r>
      <w:r w:rsidR="0071266E" w:rsidRPr="00345136">
        <w:rPr>
          <w:rFonts w:ascii="Arial" w:hAnsi="Arial" w:cs="Arial"/>
          <w:sz w:val="22"/>
          <w:szCs w:val="22"/>
        </w:rPr>
        <w:t>34</w:t>
      </w:r>
      <w:r w:rsidRPr="00345136">
        <w:rPr>
          <w:rFonts w:ascii="Arial" w:hAnsi="Arial" w:cs="Arial"/>
          <w:sz w:val="22"/>
          <w:szCs w:val="22"/>
        </w:rPr>
        <w:t xml:space="preserve"> and </w:t>
      </w:r>
      <w:r w:rsidR="0071266E" w:rsidRPr="00345136">
        <w:rPr>
          <w:rFonts w:ascii="Arial" w:hAnsi="Arial" w:cs="Arial"/>
          <w:sz w:val="22"/>
          <w:szCs w:val="22"/>
        </w:rPr>
        <w:t>25MN</w:t>
      </w:r>
      <w:r w:rsidRPr="00345136">
        <w:rPr>
          <w:rFonts w:ascii="Arial" w:hAnsi="Arial" w:cs="Arial"/>
          <w:sz w:val="22"/>
          <w:szCs w:val="22"/>
        </w:rPr>
        <w:t>-0</w:t>
      </w:r>
      <w:r w:rsidR="0071266E" w:rsidRPr="00345136">
        <w:rPr>
          <w:rFonts w:ascii="Arial" w:hAnsi="Arial" w:cs="Arial"/>
          <w:sz w:val="22"/>
          <w:szCs w:val="22"/>
        </w:rPr>
        <w:t>36</w:t>
      </w:r>
      <w:r w:rsidRPr="00345136">
        <w:rPr>
          <w:rFonts w:ascii="Arial" w:hAnsi="Arial" w:cs="Arial"/>
          <w:sz w:val="22"/>
          <w:szCs w:val="22"/>
        </w:rPr>
        <w:t xml:space="preserve">), </w:t>
      </w:r>
      <w:r w:rsidR="0071266E" w:rsidRPr="00345136">
        <w:rPr>
          <w:rFonts w:ascii="Arial" w:hAnsi="Arial" w:cs="Arial"/>
          <w:sz w:val="22"/>
          <w:szCs w:val="22"/>
        </w:rPr>
        <w:t>one</w:t>
      </w:r>
      <w:r w:rsidRPr="00345136">
        <w:rPr>
          <w:rFonts w:ascii="Arial" w:hAnsi="Arial" w:cs="Arial"/>
          <w:sz w:val="22"/>
          <w:szCs w:val="22"/>
        </w:rPr>
        <w:t xml:space="preserve"> hole w</w:t>
      </w:r>
      <w:r w:rsidR="0071266E" w:rsidRPr="00345136">
        <w:rPr>
          <w:rFonts w:ascii="Arial" w:hAnsi="Arial" w:cs="Arial"/>
          <w:sz w:val="22"/>
          <w:szCs w:val="22"/>
        </w:rPr>
        <w:t>as</w:t>
      </w:r>
      <w:r w:rsidRPr="00345136">
        <w:rPr>
          <w:rFonts w:ascii="Arial" w:hAnsi="Arial" w:cs="Arial"/>
          <w:sz w:val="22"/>
          <w:szCs w:val="22"/>
        </w:rPr>
        <w:t xml:space="preserve"> drilled at the southern end of the West Pit (</w:t>
      </w:r>
      <w:r w:rsidR="0071266E" w:rsidRPr="00345136">
        <w:rPr>
          <w:rFonts w:ascii="Arial" w:hAnsi="Arial" w:cs="Arial"/>
          <w:sz w:val="22"/>
          <w:szCs w:val="22"/>
        </w:rPr>
        <w:t>25MN</w:t>
      </w:r>
      <w:r w:rsidRPr="00345136">
        <w:rPr>
          <w:rFonts w:ascii="Arial" w:hAnsi="Arial" w:cs="Arial"/>
          <w:sz w:val="22"/>
          <w:szCs w:val="22"/>
        </w:rPr>
        <w:t>-03</w:t>
      </w:r>
      <w:r w:rsidR="0071266E" w:rsidRPr="00345136">
        <w:rPr>
          <w:rFonts w:ascii="Arial" w:hAnsi="Arial" w:cs="Arial"/>
          <w:sz w:val="22"/>
          <w:szCs w:val="22"/>
        </w:rPr>
        <w:t>5</w:t>
      </w:r>
      <w:r w:rsidRPr="00345136">
        <w:rPr>
          <w:rFonts w:ascii="Arial" w:hAnsi="Arial" w:cs="Arial"/>
          <w:sz w:val="22"/>
          <w:szCs w:val="22"/>
        </w:rPr>
        <w:t>)</w:t>
      </w:r>
      <w:r w:rsidR="00170128">
        <w:rPr>
          <w:rFonts w:ascii="Arial" w:hAnsi="Arial" w:cs="Arial"/>
          <w:sz w:val="22"/>
          <w:szCs w:val="22"/>
        </w:rPr>
        <w:t xml:space="preserve">, see </w:t>
      </w:r>
      <w:r w:rsidR="00170128" w:rsidRPr="00170128">
        <w:rPr>
          <w:rFonts w:ascii="Arial" w:hAnsi="Arial" w:cs="Arial"/>
          <w:b/>
          <w:bCs/>
          <w:sz w:val="22"/>
          <w:szCs w:val="22"/>
        </w:rPr>
        <w:t>Figure 1</w:t>
      </w:r>
      <w:r w:rsidR="0071266E" w:rsidRPr="00345136">
        <w:rPr>
          <w:rFonts w:ascii="Arial" w:hAnsi="Arial" w:cs="Arial"/>
          <w:sz w:val="22"/>
          <w:szCs w:val="22"/>
        </w:rPr>
        <w:t xml:space="preserve">. </w:t>
      </w:r>
      <w:r w:rsidR="00094D65" w:rsidRPr="00345136">
        <w:rPr>
          <w:rFonts w:ascii="Arial" w:hAnsi="Arial" w:cs="Arial"/>
          <w:sz w:val="22"/>
          <w:szCs w:val="22"/>
        </w:rPr>
        <w:t>These</w:t>
      </w:r>
      <w:r w:rsidR="00E7698C" w:rsidRPr="00345136">
        <w:rPr>
          <w:rFonts w:ascii="Arial" w:hAnsi="Arial" w:cs="Arial"/>
          <w:sz w:val="22"/>
          <w:szCs w:val="22"/>
        </w:rPr>
        <w:t xml:space="preserve"> holes tested laterally and below the </w:t>
      </w:r>
      <w:r w:rsidR="00E7698C" w:rsidRPr="00345136">
        <w:rPr>
          <w:rFonts w:ascii="Arial" w:hAnsi="Arial" w:cs="Arial"/>
          <w:b/>
          <w:bCs/>
          <w:sz w:val="22"/>
          <w:szCs w:val="22"/>
        </w:rPr>
        <w:t>Inferred Resource Constraining Pit</w:t>
      </w:r>
      <w:r w:rsidR="00086D6E" w:rsidRPr="00345136">
        <w:rPr>
          <w:rFonts w:ascii="Arial" w:hAnsi="Arial" w:cs="Arial"/>
          <w:b/>
          <w:bCs/>
          <w:sz w:val="22"/>
          <w:szCs w:val="22"/>
        </w:rPr>
        <w:t xml:space="preserve"> </w:t>
      </w:r>
      <w:r w:rsidR="00086D6E" w:rsidRPr="00345136">
        <w:rPr>
          <w:rFonts w:ascii="Arial" w:hAnsi="Arial" w:cs="Arial"/>
          <w:sz w:val="22"/>
          <w:szCs w:val="22"/>
        </w:rPr>
        <w:t>(</w:t>
      </w:r>
      <w:r w:rsidR="00086D6E" w:rsidRPr="00345136">
        <w:rPr>
          <w:rFonts w:ascii="Arial" w:hAnsi="Arial" w:cs="Arial"/>
          <w:b/>
          <w:bCs/>
          <w:sz w:val="22"/>
          <w:szCs w:val="22"/>
        </w:rPr>
        <w:t>“IRCP”</w:t>
      </w:r>
      <w:r w:rsidR="00086D6E" w:rsidRPr="00345136">
        <w:rPr>
          <w:rFonts w:ascii="Arial" w:hAnsi="Arial" w:cs="Arial"/>
          <w:sz w:val="22"/>
          <w:szCs w:val="22"/>
        </w:rPr>
        <w:t>)</w:t>
      </w:r>
      <w:r w:rsidR="00E7698C" w:rsidRPr="00345136">
        <w:rPr>
          <w:rFonts w:ascii="Arial" w:hAnsi="Arial" w:cs="Arial"/>
          <w:sz w:val="22"/>
          <w:szCs w:val="22"/>
        </w:rPr>
        <w:t>, modelled at a gold price of US$2,500</w:t>
      </w:r>
      <w:r w:rsidR="002F0D99" w:rsidRPr="00345136">
        <w:rPr>
          <w:rFonts w:ascii="Arial" w:hAnsi="Arial" w:cs="Arial"/>
          <w:sz w:val="22"/>
          <w:szCs w:val="22"/>
        </w:rPr>
        <w:t xml:space="preserve"> with</w:t>
      </w:r>
      <w:r w:rsidR="00E7698C" w:rsidRPr="00345136">
        <w:rPr>
          <w:rFonts w:ascii="Arial" w:hAnsi="Arial" w:cs="Arial"/>
          <w:sz w:val="22"/>
          <w:szCs w:val="22"/>
        </w:rPr>
        <w:t xml:space="preserve"> a 0.3 g/t gold only cutoff grade</w:t>
      </w:r>
      <w:r w:rsidR="002F0D99" w:rsidRPr="00345136">
        <w:rPr>
          <w:rFonts w:ascii="Arial" w:hAnsi="Arial" w:cs="Arial"/>
          <w:sz w:val="22"/>
          <w:szCs w:val="22"/>
        </w:rPr>
        <w:t>,</w:t>
      </w:r>
      <w:r w:rsidR="00E7698C" w:rsidRPr="00345136">
        <w:rPr>
          <w:rFonts w:ascii="Arial" w:hAnsi="Arial" w:cs="Arial"/>
          <w:sz w:val="22"/>
          <w:szCs w:val="22"/>
        </w:rPr>
        <w:t xml:space="preserve"> a</w:t>
      </w:r>
      <w:r w:rsidR="002F0D99" w:rsidRPr="00345136">
        <w:rPr>
          <w:rFonts w:ascii="Arial" w:hAnsi="Arial" w:cs="Arial"/>
          <w:sz w:val="22"/>
          <w:szCs w:val="22"/>
        </w:rPr>
        <w:t>long with</w:t>
      </w:r>
      <w:r w:rsidR="00E7698C" w:rsidRPr="00345136">
        <w:rPr>
          <w:rFonts w:ascii="Arial" w:hAnsi="Arial" w:cs="Arial"/>
          <w:sz w:val="22"/>
          <w:szCs w:val="22"/>
        </w:rPr>
        <w:t xml:space="preserve"> other inputs including: mill recovery of 90%, 50 degree pit slope angle for in-situ rock, mining costs of $3.00 per tonne for both ore and waste, milling costs of $15.00 per tonne processed, general administration cost of $3.50 per tonne processed and 2% royalty costs, and ore loss and dilution not applied. For further details see “Mineral Resource Estimate and NI 43-101 Technical Report, Manhattan Property, Nye County, Nevada” with an effective date of June 4, 2025 on Scorpio Gold’s website, </w:t>
      </w:r>
      <w:hyperlink r:id="rId13" w:history="1">
        <w:r w:rsidR="00E7698C" w:rsidRPr="00345136">
          <w:rPr>
            <w:rStyle w:val="Hyperlink"/>
            <w:rFonts w:ascii="Arial" w:hAnsi="Arial" w:cs="Arial"/>
            <w:sz w:val="22"/>
            <w:szCs w:val="22"/>
          </w:rPr>
          <w:t>here</w:t>
        </w:r>
      </w:hyperlink>
      <w:r w:rsidR="00E7698C" w:rsidRPr="00345136">
        <w:rPr>
          <w:rFonts w:ascii="Arial" w:hAnsi="Arial" w:cs="Arial"/>
          <w:sz w:val="22"/>
          <w:szCs w:val="22"/>
        </w:rPr>
        <w:t>.</w:t>
      </w:r>
      <w:r w:rsidR="00E7698C" w:rsidRPr="00345136">
        <w:t xml:space="preserve"> </w:t>
      </w:r>
    </w:p>
    <w:p w14:paraId="57F05FEE" w14:textId="14CB56FA" w:rsidR="008C06E9" w:rsidRPr="00345136" w:rsidRDefault="00E354C3" w:rsidP="00E7698C">
      <w:pPr>
        <w:pStyle w:val="p1"/>
        <w:jc w:val="both"/>
        <w:rPr>
          <w:rFonts w:ascii="Arial" w:hAnsi="Arial" w:cs="Arial"/>
          <w:sz w:val="22"/>
          <w:szCs w:val="22"/>
        </w:rPr>
      </w:pPr>
      <w:r w:rsidRPr="00345136">
        <w:rPr>
          <w:rFonts w:ascii="Arial" w:hAnsi="Arial" w:cs="Arial"/>
          <w:sz w:val="22"/>
          <w:szCs w:val="22"/>
        </w:rPr>
        <w:t>The mineralization noted in previous and current reported drill holes is consistent with the Company’s existing geological model</w:t>
      </w:r>
      <w:r w:rsidR="006C5B10">
        <w:rPr>
          <w:rFonts w:ascii="Arial" w:hAnsi="Arial" w:cs="Arial"/>
          <w:sz w:val="22"/>
          <w:szCs w:val="22"/>
        </w:rPr>
        <w:t xml:space="preserve">. The </w:t>
      </w:r>
      <w:r w:rsidR="00CC0574" w:rsidRPr="00345136">
        <w:rPr>
          <w:rFonts w:ascii="Arial" w:hAnsi="Arial" w:cs="Arial"/>
          <w:sz w:val="22"/>
          <w:szCs w:val="22"/>
        </w:rPr>
        <w:t>mineralization controls and geometries</w:t>
      </w:r>
      <w:r w:rsidR="006C5B10">
        <w:rPr>
          <w:rFonts w:ascii="Arial" w:hAnsi="Arial" w:cs="Arial"/>
          <w:sz w:val="22"/>
          <w:szCs w:val="22"/>
        </w:rPr>
        <w:t xml:space="preserve"> are</w:t>
      </w:r>
      <w:r w:rsidR="00CC0574" w:rsidRPr="00345136">
        <w:rPr>
          <w:rFonts w:ascii="Arial" w:hAnsi="Arial" w:cs="Arial"/>
          <w:sz w:val="22"/>
          <w:szCs w:val="22"/>
        </w:rPr>
        <w:t xml:space="preserve"> closely related to district scale structural features </w:t>
      </w:r>
      <w:r w:rsidR="006C5B10">
        <w:rPr>
          <w:rFonts w:ascii="Arial" w:hAnsi="Arial" w:cs="Arial"/>
          <w:sz w:val="22"/>
          <w:szCs w:val="22"/>
        </w:rPr>
        <w:t>and</w:t>
      </w:r>
      <w:r w:rsidR="00CC0574" w:rsidRPr="00345136">
        <w:rPr>
          <w:rFonts w:ascii="Arial" w:hAnsi="Arial" w:cs="Arial"/>
          <w:sz w:val="22"/>
          <w:szCs w:val="22"/>
        </w:rPr>
        <w:t xml:space="preserve"> preferred host lithologies.</w:t>
      </w:r>
      <w:r w:rsidR="00200A4D">
        <w:rPr>
          <w:rFonts w:ascii="Arial" w:hAnsi="Arial" w:cs="Arial"/>
          <w:sz w:val="22"/>
          <w:szCs w:val="22"/>
        </w:rPr>
        <w:t xml:space="preserve"> </w:t>
      </w:r>
      <w:r w:rsidR="00181BAA">
        <w:rPr>
          <w:rFonts w:ascii="Arial" w:hAnsi="Arial" w:cs="Arial"/>
          <w:sz w:val="22"/>
          <w:szCs w:val="22"/>
        </w:rPr>
        <w:t xml:space="preserve">The Company </w:t>
      </w:r>
      <w:r w:rsidR="00F1652A">
        <w:rPr>
          <w:rFonts w:ascii="Arial" w:hAnsi="Arial" w:cs="Arial"/>
          <w:sz w:val="22"/>
          <w:szCs w:val="22"/>
        </w:rPr>
        <w:t>started collecting</w:t>
      </w:r>
      <w:r w:rsidR="00181BAA">
        <w:rPr>
          <w:rFonts w:ascii="Arial" w:hAnsi="Arial" w:cs="Arial"/>
          <w:sz w:val="22"/>
          <w:szCs w:val="22"/>
        </w:rPr>
        <w:t xml:space="preserve"> oriented core since mid-2025</w:t>
      </w:r>
      <w:r w:rsidR="00D5039C">
        <w:rPr>
          <w:rFonts w:ascii="Arial" w:hAnsi="Arial" w:cs="Arial"/>
          <w:sz w:val="22"/>
          <w:szCs w:val="22"/>
        </w:rPr>
        <w:t>, and continues to do so</w:t>
      </w:r>
      <w:r w:rsidR="00181BAA">
        <w:rPr>
          <w:rFonts w:ascii="Arial" w:hAnsi="Arial" w:cs="Arial"/>
          <w:sz w:val="22"/>
          <w:szCs w:val="22"/>
        </w:rPr>
        <w:t xml:space="preserve"> on all drilling</w:t>
      </w:r>
      <w:r w:rsidR="00F1652A">
        <w:rPr>
          <w:rFonts w:ascii="Arial" w:hAnsi="Arial" w:cs="Arial"/>
          <w:sz w:val="22"/>
          <w:szCs w:val="22"/>
        </w:rPr>
        <w:t xml:space="preserve">, </w:t>
      </w:r>
      <w:r w:rsidR="00181BAA">
        <w:rPr>
          <w:rFonts w:ascii="Arial" w:hAnsi="Arial" w:cs="Arial"/>
          <w:sz w:val="22"/>
          <w:szCs w:val="22"/>
        </w:rPr>
        <w:t xml:space="preserve">which has increased confidence in </w:t>
      </w:r>
      <w:r w:rsidR="00D5039C">
        <w:rPr>
          <w:rFonts w:ascii="Arial" w:hAnsi="Arial" w:cs="Arial"/>
          <w:sz w:val="22"/>
          <w:szCs w:val="22"/>
        </w:rPr>
        <w:t>s</w:t>
      </w:r>
      <w:r w:rsidR="000F18A6">
        <w:rPr>
          <w:rFonts w:ascii="Arial" w:hAnsi="Arial" w:cs="Arial"/>
          <w:sz w:val="22"/>
          <w:szCs w:val="22"/>
        </w:rPr>
        <w:t>tructural</w:t>
      </w:r>
      <w:r w:rsidR="00D5039C">
        <w:rPr>
          <w:rFonts w:ascii="Arial" w:hAnsi="Arial" w:cs="Arial"/>
          <w:sz w:val="22"/>
          <w:szCs w:val="22"/>
        </w:rPr>
        <w:t xml:space="preserve"> features</w:t>
      </w:r>
      <w:r w:rsidR="000F18A6">
        <w:rPr>
          <w:rFonts w:ascii="Arial" w:hAnsi="Arial" w:cs="Arial"/>
          <w:sz w:val="22"/>
          <w:szCs w:val="22"/>
        </w:rPr>
        <w:t xml:space="preserve">. </w:t>
      </w:r>
      <w:r w:rsidR="00200A4D" w:rsidRPr="00345136">
        <w:rPr>
          <w:rFonts w:ascii="Arial" w:hAnsi="Arial" w:cs="Arial"/>
          <w:sz w:val="22"/>
          <w:szCs w:val="22"/>
        </w:rPr>
        <w:t>Dilatational</w:t>
      </w:r>
      <w:r w:rsidR="00CC0574" w:rsidRPr="00345136">
        <w:rPr>
          <w:rFonts w:ascii="Arial" w:hAnsi="Arial" w:cs="Arial"/>
          <w:sz w:val="22"/>
          <w:szCs w:val="22"/>
        </w:rPr>
        <w:t xml:space="preserve"> structures and structural intersections continue to be the primary focus of the mineralizing fluids, with many of the recognized structures hosting low </w:t>
      </w:r>
      <w:proofErr w:type="spellStart"/>
      <w:r w:rsidR="00CC0574" w:rsidRPr="00345136">
        <w:rPr>
          <w:rFonts w:ascii="Arial" w:hAnsi="Arial" w:cs="Arial"/>
          <w:sz w:val="22"/>
          <w:szCs w:val="22"/>
        </w:rPr>
        <w:t>sul</w:t>
      </w:r>
      <w:r w:rsidR="00200A4D">
        <w:rPr>
          <w:rFonts w:ascii="Arial" w:hAnsi="Arial" w:cs="Arial"/>
          <w:sz w:val="22"/>
          <w:szCs w:val="22"/>
        </w:rPr>
        <w:t>ph</w:t>
      </w:r>
      <w:r w:rsidR="00CC0574" w:rsidRPr="00345136">
        <w:rPr>
          <w:rFonts w:ascii="Arial" w:hAnsi="Arial" w:cs="Arial"/>
          <w:sz w:val="22"/>
          <w:szCs w:val="22"/>
        </w:rPr>
        <w:t>idation</w:t>
      </w:r>
      <w:proofErr w:type="spellEnd"/>
      <w:r w:rsidR="00CC0574" w:rsidRPr="00345136">
        <w:rPr>
          <w:rFonts w:ascii="Arial" w:hAnsi="Arial" w:cs="Arial"/>
          <w:sz w:val="22"/>
          <w:szCs w:val="22"/>
        </w:rPr>
        <w:t xml:space="preserve"> epithermal gold vein assemblages in their hanging wall</w:t>
      </w:r>
      <w:r>
        <w:rPr>
          <w:rFonts w:ascii="Arial" w:hAnsi="Arial" w:cs="Arial"/>
          <w:sz w:val="22"/>
          <w:szCs w:val="22"/>
        </w:rPr>
        <w:t>s.</w:t>
      </w:r>
    </w:p>
    <w:p w14:paraId="2BAFAD78" w14:textId="77777777" w:rsidR="00E9133B" w:rsidRDefault="00E9133B" w:rsidP="00E7698C">
      <w:pPr>
        <w:pStyle w:val="p1"/>
        <w:jc w:val="both"/>
        <w:rPr>
          <w:rFonts w:ascii="Arial" w:hAnsi="Arial" w:cs="Arial"/>
          <w:noProof/>
          <w:sz w:val="22"/>
          <w:szCs w:val="22"/>
        </w:rPr>
      </w:pPr>
    </w:p>
    <w:p w14:paraId="4D90CFC8" w14:textId="0446D03F" w:rsidR="00547C8D" w:rsidRPr="00345136" w:rsidRDefault="00C34FCD" w:rsidP="00E9133B">
      <w:pPr>
        <w:pStyle w:val="p1"/>
        <w:jc w:val="center"/>
        <w:rPr>
          <w:rFonts w:ascii="Arial" w:hAnsi="Arial" w:cs="Arial"/>
          <w:sz w:val="22"/>
          <w:szCs w:val="22"/>
          <w:highlight w:val="yellow"/>
        </w:rPr>
      </w:pPr>
      <w:r w:rsidRPr="00345136">
        <w:rPr>
          <w:rFonts w:ascii="Arial" w:hAnsi="Arial" w:cs="Arial"/>
          <w:noProof/>
          <w:sz w:val="22"/>
          <w:szCs w:val="22"/>
        </w:rPr>
        <w:lastRenderedPageBreak/>
        <w:drawing>
          <wp:inline distT="0" distB="0" distL="0" distR="0" wp14:anchorId="001DF436" wp14:editId="639CE459">
            <wp:extent cx="6129655" cy="4724400"/>
            <wp:effectExtent l="19050" t="19050" r="23495" b="19050"/>
            <wp:docPr id="62547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79678" name="Picture 1"/>
                    <pic:cNvPicPr/>
                  </pic:nvPicPr>
                  <pic:blipFill rotWithShape="1">
                    <a:blip r:embed="rId14" cstate="print">
                      <a:extLst>
                        <a:ext uri="{28A0092B-C50C-407E-A947-70E740481C1C}">
                          <a14:useLocalDpi xmlns:a14="http://schemas.microsoft.com/office/drawing/2010/main" val="0"/>
                        </a:ext>
                      </a:extLst>
                    </a:blip>
                    <a:srcRect t="5804" b="9515"/>
                    <a:stretch>
                      <a:fillRect/>
                    </a:stretch>
                  </pic:blipFill>
                  <pic:spPr bwMode="auto">
                    <a:xfrm>
                      <a:off x="0" y="0"/>
                      <a:ext cx="6130402" cy="47249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FDC3B3" w14:textId="4E7ACE25" w:rsidR="00547C8D" w:rsidRPr="00345136" w:rsidRDefault="00B9514A" w:rsidP="00042FBC">
      <w:pPr>
        <w:spacing w:line="240" w:lineRule="auto"/>
        <w:jc w:val="center"/>
        <w:rPr>
          <w:b/>
          <w:bCs/>
        </w:rPr>
      </w:pPr>
      <w:r w:rsidRPr="00345136">
        <w:rPr>
          <w:b/>
          <w:bCs/>
        </w:rPr>
        <w:t xml:space="preserve">Figure 1. </w:t>
      </w:r>
      <w:r w:rsidR="00C34FCD" w:rsidRPr="00345136">
        <w:rPr>
          <w:b/>
          <w:bCs/>
        </w:rPr>
        <w:t xml:space="preserve">Surface Plan Map of Drill results over 2025 MRE </w:t>
      </w:r>
      <w:r w:rsidR="00354D68" w:rsidRPr="00345136">
        <w:rPr>
          <w:b/>
          <w:bCs/>
        </w:rPr>
        <w:t>B</w:t>
      </w:r>
      <w:r w:rsidR="00C34FCD" w:rsidRPr="00345136">
        <w:rPr>
          <w:b/>
          <w:bCs/>
        </w:rPr>
        <w:t>lock Model</w:t>
      </w:r>
      <w:r w:rsidR="00354D68" w:rsidRPr="00345136">
        <w:rPr>
          <w:b/>
          <w:bCs/>
        </w:rPr>
        <w:t>.</w:t>
      </w:r>
    </w:p>
    <w:p w14:paraId="7C008F20" w14:textId="77777777" w:rsidR="00D026AB" w:rsidRPr="00345136" w:rsidRDefault="00D026AB" w:rsidP="00AF4C09">
      <w:pPr>
        <w:spacing w:line="240" w:lineRule="auto"/>
        <w:jc w:val="both"/>
        <w:rPr>
          <w:b/>
          <w:bCs/>
          <w:highlight w:val="yellow"/>
        </w:rPr>
      </w:pPr>
    </w:p>
    <w:tbl>
      <w:tblPr>
        <w:tblW w:w="10763" w:type="dxa"/>
        <w:tblLayout w:type="fixed"/>
        <w:tblLook w:val="04A0" w:firstRow="1" w:lastRow="0" w:firstColumn="1" w:lastColumn="0" w:noHBand="0" w:noVBand="1"/>
      </w:tblPr>
      <w:tblGrid>
        <w:gridCol w:w="1793"/>
        <w:gridCol w:w="1794"/>
        <w:gridCol w:w="1794"/>
        <w:gridCol w:w="1794"/>
        <w:gridCol w:w="1794"/>
        <w:gridCol w:w="1794"/>
      </w:tblGrid>
      <w:tr w:rsidR="00286C84" w:rsidRPr="00345136" w14:paraId="484A7750" w14:textId="77777777" w:rsidTr="00286C84">
        <w:trPr>
          <w:trHeight w:val="615"/>
        </w:trPr>
        <w:tc>
          <w:tcPr>
            <w:tcW w:w="1793" w:type="dxa"/>
            <w:tcBorders>
              <w:top w:val="single" w:sz="8" w:space="0" w:color="auto"/>
              <w:left w:val="single" w:sz="8" w:space="0" w:color="auto"/>
              <w:bottom w:val="nil"/>
              <w:right w:val="nil"/>
            </w:tcBorders>
            <w:shd w:val="clear" w:color="000000" w:fill="D9D9D9"/>
            <w:noWrap/>
            <w:vAlign w:val="center"/>
            <w:hideMark/>
          </w:tcPr>
          <w:p w14:paraId="27858B75"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Drill Hole ID</w:t>
            </w:r>
          </w:p>
        </w:tc>
        <w:tc>
          <w:tcPr>
            <w:tcW w:w="1794" w:type="dxa"/>
            <w:tcBorders>
              <w:top w:val="single" w:sz="8" w:space="0" w:color="auto"/>
              <w:left w:val="nil"/>
              <w:bottom w:val="nil"/>
              <w:right w:val="nil"/>
            </w:tcBorders>
            <w:shd w:val="clear" w:color="000000" w:fill="D9D9D9"/>
            <w:vAlign w:val="center"/>
            <w:hideMark/>
          </w:tcPr>
          <w:p w14:paraId="4943C70B"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Target</w:t>
            </w:r>
            <w:r w:rsidRPr="00345136">
              <w:rPr>
                <w:rFonts w:eastAsia="Times New Roman"/>
                <w:b/>
                <w:bCs/>
                <w:color w:val="000000"/>
              </w:rPr>
              <w:br/>
              <w:t>Azimuth / Dip</w:t>
            </w:r>
          </w:p>
        </w:tc>
        <w:tc>
          <w:tcPr>
            <w:tcW w:w="1794" w:type="dxa"/>
            <w:tcBorders>
              <w:top w:val="single" w:sz="8" w:space="0" w:color="auto"/>
              <w:left w:val="nil"/>
              <w:bottom w:val="nil"/>
              <w:right w:val="nil"/>
            </w:tcBorders>
            <w:shd w:val="clear" w:color="000000" w:fill="D9D9D9"/>
            <w:noWrap/>
            <w:vAlign w:val="center"/>
            <w:hideMark/>
          </w:tcPr>
          <w:p w14:paraId="4837CC09"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From (m)</w:t>
            </w:r>
          </w:p>
        </w:tc>
        <w:tc>
          <w:tcPr>
            <w:tcW w:w="1794" w:type="dxa"/>
            <w:tcBorders>
              <w:top w:val="single" w:sz="8" w:space="0" w:color="auto"/>
              <w:left w:val="nil"/>
              <w:bottom w:val="nil"/>
              <w:right w:val="nil"/>
            </w:tcBorders>
            <w:shd w:val="clear" w:color="000000" w:fill="D9D9D9"/>
            <w:noWrap/>
            <w:vAlign w:val="center"/>
            <w:hideMark/>
          </w:tcPr>
          <w:p w14:paraId="1F9B4359"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To (m)</w:t>
            </w:r>
          </w:p>
        </w:tc>
        <w:tc>
          <w:tcPr>
            <w:tcW w:w="1794" w:type="dxa"/>
            <w:tcBorders>
              <w:top w:val="single" w:sz="8" w:space="0" w:color="auto"/>
              <w:left w:val="nil"/>
              <w:bottom w:val="nil"/>
              <w:right w:val="nil"/>
            </w:tcBorders>
            <w:shd w:val="clear" w:color="000000" w:fill="D9D9D9"/>
            <w:noWrap/>
            <w:vAlign w:val="center"/>
            <w:hideMark/>
          </w:tcPr>
          <w:p w14:paraId="22736B26"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Intercept</w:t>
            </w:r>
            <w:r w:rsidRPr="00345136">
              <w:rPr>
                <w:rFonts w:ascii="Aptos Narrow" w:eastAsia="Times New Roman" w:hAnsi="Aptos Narrow"/>
                <w:b/>
                <w:bCs/>
                <w:color w:val="000000"/>
              </w:rPr>
              <w:t>¹</w:t>
            </w:r>
            <w:r w:rsidRPr="00345136">
              <w:rPr>
                <w:rFonts w:eastAsia="Times New Roman"/>
                <w:b/>
                <w:bCs/>
                <w:color w:val="000000"/>
              </w:rPr>
              <w:t xml:space="preserve"> (m)</w:t>
            </w:r>
          </w:p>
        </w:tc>
        <w:tc>
          <w:tcPr>
            <w:tcW w:w="1794" w:type="dxa"/>
            <w:tcBorders>
              <w:top w:val="single" w:sz="8" w:space="0" w:color="auto"/>
              <w:left w:val="nil"/>
              <w:bottom w:val="nil"/>
              <w:right w:val="single" w:sz="8" w:space="0" w:color="auto"/>
            </w:tcBorders>
            <w:shd w:val="clear" w:color="000000" w:fill="D9D9D9"/>
            <w:noWrap/>
            <w:vAlign w:val="center"/>
            <w:hideMark/>
          </w:tcPr>
          <w:p w14:paraId="40E26506" w14:textId="77777777" w:rsidR="00286C84" w:rsidRPr="00345136" w:rsidRDefault="00286C84" w:rsidP="00286C84">
            <w:pPr>
              <w:spacing w:line="240" w:lineRule="auto"/>
              <w:jc w:val="center"/>
              <w:rPr>
                <w:rFonts w:eastAsia="Times New Roman"/>
                <w:b/>
                <w:bCs/>
                <w:color w:val="000000"/>
              </w:rPr>
            </w:pPr>
            <w:r w:rsidRPr="00345136">
              <w:rPr>
                <w:rFonts w:eastAsia="Times New Roman"/>
                <w:b/>
                <w:bCs/>
                <w:color w:val="000000"/>
              </w:rPr>
              <w:t>Gold (g/t)</w:t>
            </w:r>
          </w:p>
        </w:tc>
      </w:tr>
      <w:tr w:rsidR="00286C84" w:rsidRPr="00345136" w14:paraId="383192BA" w14:textId="77777777" w:rsidTr="00286C84">
        <w:trPr>
          <w:trHeight w:val="300"/>
        </w:trPr>
        <w:tc>
          <w:tcPr>
            <w:tcW w:w="1793" w:type="dxa"/>
            <w:tcBorders>
              <w:top w:val="single" w:sz="8" w:space="0" w:color="auto"/>
              <w:left w:val="single" w:sz="8" w:space="0" w:color="auto"/>
              <w:bottom w:val="nil"/>
              <w:right w:val="nil"/>
            </w:tcBorders>
            <w:noWrap/>
            <w:vAlign w:val="center"/>
            <w:hideMark/>
          </w:tcPr>
          <w:p w14:paraId="6BD0139F"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25MN-034</w:t>
            </w:r>
          </w:p>
        </w:tc>
        <w:tc>
          <w:tcPr>
            <w:tcW w:w="1794" w:type="dxa"/>
            <w:tcBorders>
              <w:top w:val="single" w:sz="8" w:space="0" w:color="auto"/>
              <w:left w:val="nil"/>
              <w:bottom w:val="nil"/>
              <w:right w:val="nil"/>
            </w:tcBorders>
            <w:noWrap/>
            <w:vAlign w:val="center"/>
            <w:hideMark/>
          </w:tcPr>
          <w:p w14:paraId="288DB99E"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West Pit</w:t>
            </w:r>
          </w:p>
        </w:tc>
        <w:tc>
          <w:tcPr>
            <w:tcW w:w="1794" w:type="dxa"/>
            <w:tcBorders>
              <w:top w:val="single" w:sz="8" w:space="0" w:color="auto"/>
              <w:left w:val="nil"/>
              <w:bottom w:val="nil"/>
              <w:right w:val="nil"/>
            </w:tcBorders>
            <w:noWrap/>
            <w:vAlign w:val="center"/>
            <w:hideMark/>
          </w:tcPr>
          <w:p w14:paraId="6016A9CE"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125.12</w:t>
            </w:r>
          </w:p>
        </w:tc>
        <w:tc>
          <w:tcPr>
            <w:tcW w:w="1794" w:type="dxa"/>
            <w:tcBorders>
              <w:top w:val="single" w:sz="8" w:space="0" w:color="auto"/>
              <w:left w:val="nil"/>
              <w:bottom w:val="nil"/>
              <w:right w:val="nil"/>
            </w:tcBorders>
            <w:noWrap/>
            <w:vAlign w:val="center"/>
            <w:hideMark/>
          </w:tcPr>
          <w:p w14:paraId="607D21A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144.51</w:t>
            </w:r>
          </w:p>
        </w:tc>
        <w:tc>
          <w:tcPr>
            <w:tcW w:w="1794" w:type="dxa"/>
            <w:tcBorders>
              <w:top w:val="single" w:sz="8" w:space="0" w:color="auto"/>
              <w:left w:val="nil"/>
              <w:bottom w:val="nil"/>
              <w:right w:val="nil"/>
            </w:tcBorders>
            <w:noWrap/>
            <w:vAlign w:val="center"/>
            <w:hideMark/>
          </w:tcPr>
          <w:p w14:paraId="3B80A0A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19.39</w:t>
            </w:r>
          </w:p>
        </w:tc>
        <w:tc>
          <w:tcPr>
            <w:tcW w:w="1794" w:type="dxa"/>
            <w:tcBorders>
              <w:top w:val="single" w:sz="8" w:space="0" w:color="auto"/>
              <w:left w:val="nil"/>
              <w:bottom w:val="nil"/>
              <w:right w:val="single" w:sz="8" w:space="0" w:color="auto"/>
            </w:tcBorders>
            <w:noWrap/>
            <w:vAlign w:val="center"/>
            <w:hideMark/>
          </w:tcPr>
          <w:p w14:paraId="50A07EE9"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0.51</w:t>
            </w:r>
          </w:p>
        </w:tc>
      </w:tr>
      <w:tr w:rsidR="00286C84" w:rsidRPr="00345136" w14:paraId="1DEE735D" w14:textId="77777777" w:rsidTr="00286C84">
        <w:trPr>
          <w:trHeight w:val="300"/>
        </w:trPr>
        <w:tc>
          <w:tcPr>
            <w:tcW w:w="1793" w:type="dxa"/>
            <w:tcBorders>
              <w:top w:val="nil"/>
              <w:left w:val="single" w:sz="8" w:space="0" w:color="auto"/>
              <w:bottom w:val="nil"/>
              <w:right w:val="nil"/>
            </w:tcBorders>
            <w:noWrap/>
            <w:vAlign w:val="center"/>
            <w:hideMark/>
          </w:tcPr>
          <w:p w14:paraId="60D6BA7E"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308 m</w:t>
            </w:r>
          </w:p>
        </w:tc>
        <w:tc>
          <w:tcPr>
            <w:tcW w:w="1794" w:type="dxa"/>
            <w:tcBorders>
              <w:top w:val="nil"/>
              <w:left w:val="nil"/>
              <w:bottom w:val="nil"/>
              <w:right w:val="nil"/>
            </w:tcBorders>
            <w:noWrap/>
            <w:vAlign w:val="center"/>
            <w:hideMark/>
          </w:tcPr>
          <w:p w14:paraId="28BD543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052° / -58°</w:t>
            </w:r>
          </w:p>
        </w:tc>
        <w:tc>
          <w:tcPr>
            <w:tcW w:w="1794" w:type="dxa"/>
            <w:tcBorders>
              <w:top w:val="nil"/>
              <w:left w:val="nil"/>
              <w:bottom w:val="nil"/>
              <w:right w:val="nil"/>
            </w:tcBorders>
            <w:shd w:val="clear" w:color="000000" w:fill="F2F2F2"/>
            <w:noWrap/>
            <w:vAlign w:val="center"/>
            <w:hideMark/>
          </w:tcPr>
          <w:p w14:paraId="0254465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154.84</w:t>
            </w:r>
          </w:p>
        </w:tc>
        <w:tc>
          <w:tcPr>
            <w:tcW w:w="1794" w:type="dxa"/>
            <w:tcBorders>
              <w:top w:val="nil"/>
              <w:left w:val="nil"/>
              <w:bottom w:val="nil"/>
              <w:right w:val="nil"/>
            </w:tcBorders>
            <w:shd w:val="clear" w:color="000000" w:fill="F2F2F2"/>
            <w:noWrap/>
            <w:vAlign w:val="center"/>
            <w:hideMark/>
          </w:tcPr>
          <w:p w14:paraId="761ACC8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160.32</w:t>
            </w:r>
          </w:p>
        </w:tc>
        <w:tc>
          <w:tcPr>
            <w:tcW w:w="1794" w:type="dxa"/>
            <w:tcBorders>
              <w:top w:val="nil"/>
              <w:left w:val="nil"/>
              <w:bottom w:val="nil"/>
              <w:right w:val="nil"/>
            </w:tcBorders>
            <w:shd w:val="clear" w:color="000000" w:fill="F2F2F2"/>
            <w:noWrap/>
            <w:vAlign w:val="center"/>
            <w:hideMark/>
          </w:tcPr>
          <w:p w14:paraId="7D24F982"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5.49</w:t>
            </w:r>
          </w:p>
        </w:tc>
        <w:tc>
          <w:tcPr>
            <w:tcW w:w="1794" w:type="dxa"/>
            <w:tcBorders>
              <w:top w:val="nil"/>
              <w:left w:val="nil"/>
              <w:bottom w:val="nil"/>
              <w:right w:val="single" w:sz="8" w:space="0" w:color="auto"/>
            </w:tcBorders>
            <w:shd w:val="clear" w:color="000000" w:fill="F2F2F2"/>
            <w:noWrap/>
            <w:vAlign w:val="center"/>
            <w:hideMark/>
          </w:tcPr>
          <w:p w14:paraId="0E84F66D"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0.2</w:t>
            </w:r>
          </w:p>
        </w:tc>
      </w:tr>
      <w:tr w:rsidR="00286C84" w:rsidRPr="00345136" w14:paraId="0ADE0619" w14:textId="77777777" w:rsidTr="00286C84">
        <w:trPr>
          <w:trHeight w:val="315"/>
        </w:trPr>
        <w:tc>
          <w:tcPr>
            <w:tcW w:w="1793" w:type="dxa"/>
            <w:tcBorders>
              <w:top w:val="nil"/>
              <w:left w:val="single" w:sz="8" w:space="0" w:color="auto"/>
              <w:bottom w:val="single" w:sz="8" w:space="0" w:color="auto"/>
              <w:right w:val="nil"/>
            </w:tcBorders>
            <w:noWrap/>
            <w:vAlign w:val="center"/>
            <w:hideMark/>
          </w:tcPr>
          <w:p w14:paraId="5FCC805D"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c>
          <w:tcPr>
            <w:tcW w:w="1794" w:type="dxa"/>
            <w:tcBorders>
              <w:top w:val="nil"/>
              <w:left w:val="nil"/>
              <w:bottom w:val="single" w:sz="8" w:space="0" w:color="auto"/>
              <w:right w:val="nil"/>
            </w:tcBorders>
            <w:noWrap/>
            <w:vAlign w:val="center"/>
            <w:hideMark/>
          </w:tcPr>
          <w:p w14:paraId="436557DC"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c>
          <w:tcPr>
            <w:tcW w:w="1794" w:type="dxa"/>
            <w:tcBorders>
              <w:top w:val="nil"/>
              <w:left w:val="nil"/>
              <w:bottom w:val="single" w:sz="8" w:space="0" w:color="auto"/>
              <w:right w:val="nil"/>
            </w:tcBorders>
            <w:noWrap/>
            <w:vAlign w:val="center"/>
            <w:hideMark/>
          </w:tcPr>
          <w:p w14:paraId="21E8783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215.75</w:t>
            </w:r>
          </w:p>
        </w:tc>
        <w:tc>
          <w:tcPr>
            <w:tcW w:w="1794" w:type="dxa"/>
            <w:tcBorders>
              <w:top w:val="nil"/>
              <w:left w:val="nil"/>
              <w:bottom w:val="single" w:sz="8" w:space="0" w:color="auto"/>
              <w:right w:val="nil"/>
            </w:tcBorders>
            <w:noWrap/>
            <w:vAlign w:val="center"/>
            <w:hideMark/>
          </w:tcPr>
          <w:p w14:paraId="6E5912B9"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225.55</w:t>
            </w:r>
          </w:p>
        </w:tc>
        <w:tc>
          <w:tcPr>
            <w:tcW w:w="1794" w:type="dxa"/>
            <w:tcBorders>
              <w:top w:val="nil"/>
              <w:left w:val="nil"/>
              <w:bottom w:val="single" w:sz="8" w:space="0" w:color="auto"/>
              <w:right w:val="nil"/>
            </w:tcBorders>
            <w:noWrap/>
            <w:vAlign w:val="center"/>
            <w:hideMark/>
          </w:tcPr>
          <w:p w14:paraId="6A303240"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9.8</w:t>
            </w:r>
          </w:p>
        </w:tc>
        <w:tc>
          <w:tcPr>
            <w:tcW w:w="1794" w:type="dxa"/>
            <w:tcBorders>
              <w:top w:val="nil"/>
              <w:left w:val="nil"/>
              <w:bottom w:val="single" w:sz="8" w:space="0" w:color="auto"/>
              <w:right w:val="single" w:sz="8" w:space="0" w:color="auto"/>
            </w:tcBorders>
            <w:noWrap/>
            <w:vAlign w:val="center"/>
            <w:hideMark/>
          </w:tcPr>
          <w:p w14:paraId="5604A29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0.24</w:t>
            </w:r>
          </w:p>
        </w:tc>
      </w:tr>
      <w:tr w:rsidR="00286C84" w:rsidRPr="00345136" w14:paraId="1698A7ED" w14:textId="77777777" w:rsidTr="00286C84">
        <w:trPr>
          <w:trHeight w:val="300"/>
        </w:trPr>
        <w:tc>
          <w:tcPr>
            <w:tcW w:w="1793" w:type="dxa"/>
            <w:tcBorders>
              <w:top w:val="nil"/>
              <w:left w:val="single" w:sz="8" w:space="0" w:color="auto"/>
              <w:bottom w:val="nil"/>
              <w:right w:val="nil"/>
            </w:tcBorders>
            <w:noWrap/>
            <w:vAlign w:val="center"/>
            <w:hideMark/>
          </w:tcPr>
          <w:p w14:paraId="029CAA01"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25MN-035</w:t>
            </w:r>
          </w:p>
        </w:tc>
        <w:tc>
          <w:tcPr>
            <w:tcW w:w="1794" w:type="dxa"/>
            <w:tcBorders>
              <w:top w:val="nil"/>
              <w:left w:val="nil"/>
              <w:bottom w:val="nil"/>
              <w:right w:val="nil"/>
            </w:tcBorders>
            <w:noWrap/>
            <w:vAlign w:val="center"/>
            <w:hideMark/>
          </w:tcPr>
          <w:p w14:paraId="4F328F53"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West Pit</w:t>
            </w:r>
          </w:p>
        </w:tc>
        <w:tc>
          <w:tcPr>
            <w:tcW w:w="1794" w:type="dxa"/>
            <w:tcBorders>
              <w:top w:val="nil"/>
              <w:left w:val="nil"/>
              <w:bottom w:val="nil"/>
              <w:right w:val="nil"/>
            </w:tcBorders>
            <w:noWrap/>
            <w:vAlign w:val="center"/>
            <w:hideMark/>
          </w:tcPr>
          <w:p w14:paraId="61B14E60"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82.6</w:t>
            </w:r>
          </w:p>
        </w:tc>
        <w:tc>
          <w:tcPr>
            <w:tcW w:w="1794" w:type="dxa"/>
            <w:tcBorders>
              <w:top w:val="nil"/>
              <w:left w:val="nil"/>
              <w:bottom w:val="nil"/>
              <w:right w:val="nil"/>
            </w:tcBorders>
            <w:noWrap/>
            <w:vAlign w:val="center"/>
            <w:hideMark/>
          </w:tcPr>
          <w:p w14:paraId="6A18A6F1"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89.61</w:t>
            </w:r>
          </w:p>
        </w:tc>
        <w:tc>
          <w:tcPr>
            <w:tcW w:w="1794" w:type="dxa"/>
            <w:tcBorders>
              <w:top w:val="nil"/>
              <w:left w:val="nil"/>
              <w:bottom w:val="nil"/>
              <w:right w:val="nil"/>
            </w:tcBorders>
            <w:noWrap/>
            <w:vAlign w:val="center"/>
            <w:hideMark/>
          </w:tcPr>
          <w:p w14:paraId="4EC9653C"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7.01</w:t>
            </w:r>
          </w:p>
        </w:tc>
        <w:tc>
          <w:tcPr>
            <w:tcW w:w="1794" w:type="dxa"/>
            <w:tcBorders>
              <w:top w:val="nil"/>
              <w:left w:val="nil"/>
              <w:bottom w:val="nil"/>
              <w:right w:val="single" w:sz="8" w:space="0" w:color="auto"/>
            </w:tcBorders>
            <w:noWrap/>
            <w:vAlign w:val="center"/>
            <w:hideMark/>
          </w:tcPr>
          <w:p w14:paraId="1F3D880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0.25</w:t>
            </w:r>
          </w:p>
        </w:tc>
      </w:tr>
      <w:tr w:rsidR="00286C84" w:rsidRPr="00345136" w14:paraId="79CDEC6C" w14:textId="77777777" w:rsidTr="00286C84">
        <w:trPr>
          <w:trHeight w:val="315"/>
        </w:trPr>
        <w:tc>
          <w:tcPr>
            <w:tcW w:w="1793" w:type="dxa"/>
            <w:tcBorders>
              <w:top w:val="nil"/>
              <w:left w:val="single" w:sz="8" w:space="0" w:color="auto"/>
              <w:bottom w:val="single" w:sz="8" w:space="0" w:color="auto"/>
              <w:right w:val="nil"/>
            </w:tcBorders>
            <w:noWrap/>
            <w:vAlign w:val="center"/>
            <w:hideMark/>
          </w:tcPr>
          <w:p w14:paraId="796EDCB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276 m</w:t>
            </w:r>
          </w:p>
        </w:tc>
        <w:tc>
          <w:tcPr>
            <w:tcW w:w="1794" w:type="dxa"/>
            <w:tcBorders>
              <w:top w:val="nil"/>
              <w:left w:val="nil"/>
              <w:bottom w:val="single" w:sz="8" w:space="0" w:color="auto"/>
              <w:right w:val="nil"/>
            </w:tcBorders>
            <w:noWrap/>
            <w:vAlign w:val="center"/>
            <w:hideMark/>
          </w:tcPr>
          <w:p w14:paraId="2D16BD2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060° / -64°</w:t>
            </w:r>
          </w:p>
        </w:tc>
        <w:tc>
          <w:tcPr>
            <w:tcW w:w="1794" w:type="dxa"/>
            <w:tcBorders>
              <w:top w:val="nil"/>
              <w:left w:val="nil"/>
              <w:bottom w:val="single" w:sz="8" w:space="0" w:color="auto"/>
              <w:right w:val="nil"/>
            </w:tcBorders>
            <w:noWrap/>
            <w:vAlign w:val="center"/>
            <w:hideMark/>
          </w:tcPr>
          <w:p w14:paraId="5C63B5D2"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c>
          <w:tcPr>
            <w:tcW w:w="1794" w:type="dxa"/>
            <w:tcBorders>
              <w:top w:val="nil"/>
              <w:left w:val="nil"/>
              <w:bottom w:val="single" w:sz="8" w:space="0" w:color="auto"/>
              <w:right w:val="nil"/>
            </w:tcBorders>
            <w:noWrap/>
            <w:vAlign w:val="center"/>
            <w:hideMark/>
          </w:tcPr>
          <w:p w14:paraId="784310A7"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c>
          <w:tcPr>
            <w:tcW w:w="1794" w:type="dxa"/>
            <w:tcBorders>
              <w:top w:val="nil"/>
              <w:left w:val="nil"/>
              <w:bottom w:val="single" w:sz="8" w:space="0" w:color="auto"/>
              <w:right w:val="nil"/>
            </w:tcBorders>
            <w:noWrap/>
            <w:vAlign w:val="center"/>
            <w:hideMark/>
          </w:tcPr>
          <w:p w14:paraId="3FE2CEEE"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c>
          <w:tcPr>
            <w:tcW w:w="1794" w:type="dxa"/>
            <w:tcBorders>
              <w:top w:val="nil"/>
              <w:left w:val="nil"/>
              <w:bottom w:val="single" w:sz="8" w:space="0" w:color="auto"/>
              <w:right w:val="single" w:sz="8" w:space="0" w:color="auto"/>
            </w:tcBorders>
            <w:noWrap/>
            <w:vAlign w:val="center"/>
            <w:hideMark/>
          </w:tcPr>
          <w:p w14:paraId="7B294877"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 </w:t>
            </w:r>
          </w:p>
        </w:tc>
      </w:tr>
      <w:tr w:rsidR="00286C84" w:rsidRPr="00345136" w14:paraId="27ABFD3E" w14:textId="77777777" w:rsidTr="00286C84">
        <w:trPr>
          <w:trHeight w:val="300"/>
        </w:trPr>
        <w:tc>
          <w:tcPr>
            <w:tcW w:w="1793" w:type="dxa"/>
            <w:tcBorders>
              <w:top w:val="nil"/>
              <w:left w:val="single" w:sz="8" w:space="0" w:color="auto"/>
              <w:bottom w:val="nil"/>
              <w:right w:val="nil"/>
            </w:tcBorders>
            <w:noWrap/>
            <w:vAlign w:val="center"/>
            <w:hideMark/>
          </w:tcPr>
          <w:p w14:paraId="6BF3DA5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25MN-036</w:t>
            </w:r>
          </w:p>
        </w:tc>
        <w:tc>
          <w:tcPr>
            <w:tcW w:w="1794" w:type="dxa"/>
            <w:tcBorders>
              <w:top w:val="nil"/>
              <w:left w:val="nil"/>
              <w:bottom w:val="nil"/>
              <w:right w:val="nil"/>
            </w:tcBorders>
            <w:noWrap/>
            <w:vAlign w:val="center"/>
            <w:hideMark/>
          </w:tcPr>
          <w:p w14:paraId="050C96ED"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West Pit</w:t>
            </w:r>
          </w:p>
        </w:tc>
        <w:tc>
          <w:tcPr>
            <w:tcW w:w="1794" w:type="dxa"/>
            <w:tcBorders>
              <w:top w:val="nil"/>
              <w:left w:val="nil"/>
              <w:bottom w:val="nil"/>
              <w:right w:val="nil"/>
            </w:tcBorders>
            <w:shd w:val="clear" w:color="000000" w:fill="F2F2F2"/>
            <w:noWrap/>
            <w:vAlign w:val="center"/>
            <w:hideMark/>
          </w:tcPr>
          <w:p w14:paraId="4F06A8AF"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113.76</w:t>
            </w:r>
          </w:p>
        </w:tc>
        <w:tc>
          <w:tcPr>
            <w:tcW w:w="1794" w:type="dxa"/>
            <w:tcBorders>
              <w:top w:val="nil"/>
              <w:left w:val="nil"/>
              <w:bottom w:val="nil"/>
              <w:right w:val="nil"/>
            </w:tcBorders>
            <w:shd w:val="clear" w:color="000000" w:fill="F2F2F2"/>
            <w:noWrap/>
            <w:vAlign w:val="center"/>
            <w:hideMark/>
          </w:tcPr>
          <w:p w14:paraId="4D823051"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121.62</w:t>
            </w:r>
          </w:p>
        </w:tc>
        <w:tc>
          <w:tcPr>
            <w:tcW w:w="1794" w:type="dxa"/>
            <w:tcBorders>
              <w:top w:val="nil"/>
              <w:left w:val="nil"/>
              <w:bottom w:val="nil"/>
              <w:right w:val="nil"/>
            </w:tcBorders>
            <w:shd w:val="clear" w:color="000000" w:fill="F2F2F2"/>
            <w:noWrap/>
            <w:vAlign w:val="center"/>
            <w:hideMark/>
          </w:tcPr>
          <w:p w14:paraId="16847F1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7.86</w:t>
            </w:r>
          </w:p>
        </w:tc>
        <w:tc>
          <w:tcPr>
            <w:tcW w:w="1794" w:type="dxa"/>
            <w:tcBorders>
              <w:top w:val="nil"/>
              <w:left w:val="nil"/>
              <w:bottom w:val="nil"/>
              <w:right w:val="single" w:sz="8" w:space="0" w:color="auto"/>
            </w:tcBorders>
            <w:shd w:val="clear" w:color="000000" w:fill="F2F2F2"/>
            <w:noWrap/>
            <w:vAlign w:val="center"/>
            <w:hideMark/>
          </w:tcPr>
          <w:p w14:paraId="740CBC98"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0.31</w:t>
            </w:r>
          </w:p>
        </w:tc>
      </w:tr>
      <w:tr w:rsidR="00286C84" w:rsidRPr="00345136" w14:paraId="6800E82E" w14:textId="77777777" w:rsidTr="00286C84">
        <w:trPr>
          <w:trHeight w:val="300"/>
        </w:trPr>
        <w:tc>
          <w:tcPr>
            <w:tcW w:w="1793" w:type="dxa"/>
            <w:tcBorders>
              <w:top w:val="nil"/>
              <w:left w:val="single" w:sz="8" w:space="0" w:color="auto"/>
              <w:bottom w:val="nil"/>
              <w:right w:val="nil"/>
            </w:tcBorders>
            <w:noWrap/>
            <w:vAlign w:val="center"/>
            <w:hideMark/>
          </w:tcPr>
          <w:p w14:paraId="0C1F0E44"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288 m</w:t>
            </w:r>
          </w:p>
        </w:tc>
        <w:tc>
          <w:tcPr>
            <w:tcW w:w="1794" w:type="dxa"/>
            <w:tcBorders>
              <w:top w:val="nil"/>
              <w:left w:val="nil"/>
              <w:bottom w:val="nil"/>
              <w:right w:val="nil"/>
            </w:tcBorders>
            <w:noWrap/>
            <w:vAlign w:val="center"/>
            <w:hideMark/>
          </w:tcPr>
          <w:p w14:paraId="1E72F8E8"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045° / -45°</w:t>
            </w:r>
          </w:p>
        </w:tc>
        <w:tc>
          <w:tcPr>
            <w:tcW w:w="1794" w:type="dxa"/>
            <w:tcBorders>
              <w:top w:val="nil"/>
              <w:left w:val="nil"/>
              <w:bottom w:val="nil"/>
              <w:right w:val="nil"/>
            </w:tcBorders>
            <w:noWrap/>
            <w:vAlign w:val="center"/>
            <w:hideMark/>
          </w:tcPr>
          <w:p w14:paraId="3BC3AA9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138.35</w:t>
            </w:r>
          </w:p>
        </w:tc>
        <w:tc>
          <w:tcPr>
            <w:tcW w:w="1794" w:type="dxa"/>
            <w:tcBorders>
              <w:top w:val="nil"/>
              <w:left w:val="nil"/>
              <w:bottom w:val="nil"/>
              <w:right w:val="nil"/>
            </w:tcBorders>
            <w:noWrap/>
            <w:vAlign w:val="center"/>
            <w:hideMark/>
          </w:tcPr>
          <w:p w14:paraId="5C73E8D9"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163.37</w:t>
            </w:r>
          </w:p>
        </w:tc>
        <w:tc>
          <w:tcPr>
            <w:tcW w:w="1794" w:type="dxa"/>
            <w:tcBorders>
              <w:top w:val="nil"/>
              <w:left w:val="nil"/>
              <w:bottom w:val="nil"/>
              <w:right w:val="nil"/>
            </w:tcBorders>
            <w:noWrap/>
            <w:vAlign w:val="center"/>
            <w:hideMark/>
          </w:tcPr>
          <w:p w14:paraId="65B8BB0D"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25.02</w:t>
            </w:r>
          </w:p>
        </w:tc>
        <w:tc>
          <w:tcPr>
            <w:tcW w:w="1794" w:type="dxa"/>
            <w:tcBorders>
              <w:top w:val="nil"/>
              <w:left w:val="nil"/>
              <w:bottom w:val="nil"/>
              <w:right w:val="single" w:sz="8" w:space="0" w:color="auto"/>
            </w:tcBorders>
            <w:noWrap/>
            <w:vAlign w:val="center"/>
            <w:hideMark/>
          </w:tcPr>
          <w:p w14:paraId="7AECC2FA"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0.76</w:t>
            </w:r>
          </w:p>
        </w:tc>
      </w:tr>
      <w:tr w:rsidR="00286C84" w:rsidRPr="00345136" w14:paraId="63CCABE8" w14:textId="77777777" w:rsidTr="00286C84">
        <w:trPr>
          <w:trHeight w:val="300"/>
        </w:trPr>
        <w:tc>
          <w:tcPr>
            <w:tcW w:w="1793" w:type="dxa"/>
            <w:tcBorders>
              <w:top w:val="nil"/>
              <w:left w:val="single" w:sz="8" w:space="0" w:color="auto"/>
              <w:bottom w:val="nil"/>
              <w:right w:val="nil"/>
            </w:tcBorders>
            <w:noWrap/>
            <w:vAlign w:val="center"/>
            <w:hideMark/>
          </w:tcPr>
          <w:p w14:paraId="05D81431" w14:textId="77777777" w:rsidR="00286C84" w:rsidRPr="00345136" w:rsidRDefault="00286C84" w:rsidP="00286C84">
            <w:pPr>
              <w:spacing w:line="240" w:lineRule="auto"/>
              <w:jc w:val="right"/>
              <w:rPr>
                <w:rFonts w:eastAsia="Times New Roman"/>
                <w:i/>
                <w:iCs/>
                <w:color w:val="000000"/>
              </w:rPr>
            </w:pPr>
            <w:r w:rsidRPr="00345136">
              <w:rPr>
                <w:rFonts w:eastAsia="Times New Roman"/>
                <w:i/>
                <w:iCs/>
                <w:color w:val="000000"/>
              </w:rPr>
              <w:t> </w:t>
            </w:r>
          </w:p>
        </w:tc>
        <w:tc>
          <w:tcPr>
            <w:tcW w:w="1794" w:type="dxa"/>
            <w:tcBorders>
              <w:top w:val="nil"/>
              <w:left w:val="nil"/>
              <w:bottom w:val="nil"/>
              <w:right w:val="nil"/>
            </w:tcBorders>
            <w:noWrap/>
            <w:vAlign w:val="center"/>
            <w:hideMark/>
          </w:tcPr>
          <w:p w14:paraId="4D8B495B" w14:textId="3AB151EC" w:rsidR="00286C84" w:rsidRPr="00345136" w:rsidRDefault="00555140" w:rsidP="00286C84">
            <w:pPr>
              <w:spacing w:line="240" w:lineRule="auto"/>
              <w:jc w:val="right"/>
              <w:rPr>
                <w:rFonts w:eastAsia="Times New Roman"/>
                <w:i/>
                <w:iCs/>
                <w:color w:val="000000"/>
              </w:rPr>
            </w:pPr>
            <w:r w:rsidRPr="00345136">
              <w:rPr>
                <w:rFonts w:eastAsia="Times New Roman"/>
                <w:i/>
                <w:iCs/>
                <w:color w:val="000000"/>
              </w:rPr>
              <w:t>including</w:t>
            </w:r>
          </w:p>
        </w:tc>
        <w:tc>
          <w:tcPr>
            <w:tcW w:w="1794" w:type="dxa"/>
            <w:tcBorders>
              <w:top w:val="nil"/>
              <w:left w:val="nil"/>
              <w:bottom w:val="nil"/>
              <w:right w:val="nil"/>
            </w:tcBorders>
            <w:shd w:val="clear" w:color="000000" w:fill="F2F2F2"/>
            <w:noWrap/>
            <w:vAlign w:val="center"/>
            <w:hideMark/>
          </w:tcPr>
          <w:p w14:paraId="738A12AE" w14:textId="77777777" w:rsidR="00286C84" w:rsidRPr="00345136" w:rsidRDefault="00286C84" w:rsidP="00286C84">
            <w:pPr>
              <w:spacing w:line="240" w:lineRule="auto"/>
              <w:jc w:val="center"/>
              <w:rPr>
                <w:rFonts w:eastAsia="Times New Roman"/>
                <w:i/>
                <w:iCs/>
                <w:color w:val="000000"/>
              </w:rPr>
            </w:pPr>
            <w:r w:rsidRPr="00345136">
              <w:rPr>
                <w:rFonts w:eastAsia="Times New Roman"/>
                <w:i/>
                <w:iCs/>
                <w:color w:val="000000"/>
              </w:rPr>
              <w:t>139.75</w:t>
            </w:r>
          </w:p>
        </w:tc>
        <w:tc>
          <w:tcPr>
            <w:tcW w:w="1794" w:type="dxa"/>
            <w:tcBorders>
              <w:top w:val="nil"/>
              <w:left w:val="nil"/>
              <w:bottom w:val="nil"/>
              <w:right w:val="nil"/>
            </w:tcBorders>
            <w:shd w:val="clear" w:color="000000" w:fill="F2F2F2"/>
            <w:noWrap/>
            <w:vAlign w:val="center"/>
            <w:hideMark/>
          </w:tcPr>
          <w:p w14:paraId="12FB8943" w14:textId="77777777" w:rsidR="00286C84" w:rsidRPr="00345136" w:rsidRDefault="00286C84" w:rsidP="00286C84">
            <w:pPr>
              <w:spacing w:line="240" w:lineRule="auto"/>
              <w:jc w:val="center"/>
              <w:rPr>
                <w:rFonts w:eastAsia="Times New Roman"/>
                <w:i/>
                <w:iCs/>
                <w:color w:val="000000"/>
              </w:rPr>
            </w:pPr>
            <w:r w:rsidRPr="00345136">
              <w:rPr>
                <w:rFonts w:eastAsia="Times New Roman"/>
                <w:i/>
                <w:iCs/>
                <w:color w:val="000000"/>
              </w:rPr>
              <w:t>147.22</w:t>
            </w:r>
          </w:p>
        </w:tc>
        <w:tc>
          <w:tcPr>
            <w:tcW w:w="1794" w:type="dxa"/>
            <w:tcBorders>
              <w:top w:val="nil"/>
              <w:left w:val="nil"/>
              <w:bottom w:val="nil"/>
              <w:right w:val="nil"/>
            </w:tcBorders>
            <w:shd w:val="clear" w:color="000000" w:fill="F2F2F2"/>
            <w:noWrap/>
            <w:vAlign w:val="center"/>
            <w:hideMark/>
          </w:tcPr>
          <w:p w14:paraId="56CD801E" w14:textId="77777777" w:rsidR="00286C84" w:rsidRPr="00345136" w:rsidRDefault="00286C84" w:rsidP="00286C84">
            <w:pPr>
              <w:spacing w:line="240" w:lineRule="auto"/>
              <w:jc w:val="center"/>
              <w:rPr>
                <w:rFonts w:eastAsia="Times New Roman"/>
                <w:i/>
                <w:iCs/>
                <w:color w:val="000000"/>
              </w:rPr>
            </w:pPr>
            <w:r w:rsidRPr="00345136">
              <w:rPr>
                <w:rFonts w:eastAsia="Times New Roman"/>
                <w:i/>
                <w:iCs/>
                <w:color w:val="000000"/>
              </w:rPr>
              <w:t>7.47</w:t>
            </w:r>
          </w:p>
        </w:tc>
        <w:tc>
          <w:tcPr>
            <w:tcW w:w="1794" w:type="dxa"/>
            <w:tcBorders>
              <w:top w:val="nil"/>
              <w:left w:val="nil"/>
              <w:bottom w:val="nil"/>
              <w:right w:val="single" w:sz="8" w:space="0" w:color="auto"/>
            </w:tcBorders>
            <w:shd w:val="clear" w:color="000000" w:fill="F2F2F2"/>
            <w:noWrap/>
            <w:vAlign w:val="center"/>
            <w:hideMark/>
          </w:tcPr>
          <w:p w14:paraId="24B8E241" w14:textId="77777777" w:rsidR="00286C84" w:rsidRPr="00345136" w:rsidRDefault="00286C84" w:rsidP="00286C84">
            <w:pPr>
              <w:spacing w:line="240" w:lineRule="auto"/>
              <w:jc w:val="center"/>
              <w:rPr>
                <w:rFonts w:eastAsia="Times New Roman"/>
                <w:i/>
                <w:iCs/>
                <w:color w:val="000000"/>
              </w:rPr>
            </w:pPr>
            <w:r w:rsidRPr="00345136">
              <w:rPr>
                <w:rFonts w:eastAsia="Times New Roman"/>
                <w:i/>
                <w:iCs/>
                <w:color w:val="000000"/>
              </w:rPr>
              <w:t>2.23</w:t>
            </w:r>
          </w:p>
        </w:tc>
      </w:tr>
      <w:tr w:rsidR="00286C84" w:rsidRPr="00345136" w14:paraId="3E3BF581" w14:textId="77777777" w:rsidTr="00286C84">
        <w:trPr>
          <w:trHeight w:val="315"/>
        </w:trPr>
        <w:tc>
          <w:tcPr>
            <w:tcW w:w="1793" w:type="dxa"/>
            <w:tcBorders>
              <w:top w:val="nil"/>
              <w:left w:val="single" w:sz="8" w:space="0" w:color="auto"/>
              <w:bottom w:val="single" w:sz="8" w:space="0" w:color="auto"/>
              <w:right w:val="nil"/>
            </w:tcBorders>
            <w:noWrap/>
            <w:vAlign w:val="center"/>
            <w:hideMark/>
          </w:tcPr>
          <w:p w14:paraId="3DEBCA62" w14:textId="77777777" w:rsidR="00286C84" w:rsidRPr="00345136" w:rsidRDefault="00286C84" w:rsidP="00286C84">
            <w:pPr>
              <w:spacing w:line="240" w:lineRule="auto"/>
              <w:jc w:val="right"/>
              <w:rPr>
                <w:rFonts w:eastAsia="Times New Roman"/>
                <w:i/>
                <w:iCs/>
                <w:color w:val="000000"/>
              </w:rPr>
            </w:pPr>
            <w:r w:rsidRPr="00345136">
              <w:rPr>
                <w:rFonts w:eastAsia="Times New Roman"/>
                <w:i/>
                <w:iCs/>
                <w:color w:val="000000"/>
              </w:rPr>
              <w:t> </w:t>
            </w:r>
          </w:p>
        </w:tc>
        <w:tc>
          <w:tcPr>
            <w:tcW w:w="1794" w:type="dxa"/>
            <w:tcBorders>
              <w:top w:val="nil"/>
              <w:left w:val="nil"/>
              <w:bottom w:val="single" w:sz="8" w:space="0" w:color="auto"/>
              <w:right w:val="nil"/>
            </w:tcBorders>
            <w:noWrap/>
            <w:vAlign w:val="center"/>
            <w:hideMark/>
          </w:tcPr>
          <w:p w14:paraId="19BFE90C" w14:textId="36BE3984" w:rsidR="00286C84" w:rsidRPr="00345136" w:rsidRDefault="00286C84" w:rsidP="00286C84">
            <w:pPr>
              <w:spacing w:line="240" w:lineRule="auto"/>
              <w:jc w:val="right"/>
              <w:rPr>
                <w:rFonts w:eastAsia="Times New Roman"/>
                <w:i/>
                <w:iCs/>
                <w:color w:val="000000"/>
              </w:rPr>
            </w:pPr>
          </w:p>
        </w:tc>
        <w:tc>
          <w:tcPr>
            <w:tcW w:w="1794" w:type="dxa"/>
            <w:tcBorders>
              <w:top w:val="nil"/>
              <w:left w:val="nil"/>
              <w:bottom w:val="single" w:sz="8" w:space="0" w:color="auto"/>
              <w:right w:val="nil"/>
            </w:tcBorders>
            <w:noWrap/>
            <w:vAlign w:val="center"/>
            <w:hideMark/>
          </w:tcPr>
          <w:p w14:paraId="725C23DC"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176.48</w:t>
            </w:r>
          </w:p>
        </w:tc>
        <w:tc>
          <w:tcPr>
            <w:tcW w:w="1794" w:type="dxa"/>
            <w:tcBorders>
              <w:top w:val="nil"/>
              <w:left w:val="nil"/>
              <w:bottom w:val="single" w:sz="8" w:space="0" w:color="auto"/>
              <w:right w:val="nil"/>
            </w:tcBorders>
            <w:noWrap/>
            <w:vAlign w:val="center"/>
            <w:hideMark/>
          </w:tcPr>
          <w:p w14:paraId="53D89918"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178.64</w:t>
            </w:r>
          </w:p>
        </w:tc>
        <w:tc>
          <w:tcPr>
            <w:tcW w:w="1794" w:type="dxa"/>
            <w:tcBorders>
              <w:top w:val="nil"/>
              <w:left w:val="nil"/>
              <w:bottom w:val="single" w:sz="8" w:space="0" w:color="auto"/>
              <w:right w:val="nil"/>
            </w:tcBorders>
            <w:noWrap/>
            <w:vAlign w:val="center"/>
            <w:hideMark/>
          </w:tcPr>
          <w:p w14:paraId="37761665"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2.16</w:t>
            </w:r>
          </w:p>
        </w:tc>
        <w:tc>
          <w:tcPr>
            <w:tcW w:w="1794" w:type="dxa"/>
            <w:tcBorders>
              <w:top w:val="nil"/>
              <w:left w:val="nil"/>
              <w:bottom w:val="single" w:sz="8" w:space="0" w:color="auto"/>
              <w:right w:val="single" w:sz="8" w:space="0" w:color="auto"/>
            </w:tcBorders>
            <w:noWrap/>
            <w:vAlign w:val="center"/>
            <w:hideMark/>
          </w:tcPr>
          <w:p w14:paraId="4845F104" w14:textId="77777777" w:rsidR="00286C84" w:rsidRPr="00345136" w:rsidRDefault="00286C84" w:rsidP="00286C84">
            <w:pPr>
              <w:spacing w:line="240" w:lineRule="auto"/>
              <w:jc w:val="center"/>
              <w:rPr>
                <w:rFonts w:eastAsia="Times New Roman"/>
                <w:color w:val="000000"/>
              </w:rPr>
            </w:pPr>
            <w:r w:rsidRPr="00345136">
              <w:rPr>
                <w:rFonts w:eastAsia="Times New Roman"/>
                <w:color w:val="000000"/>
              </w:rPr>
              <w:t>1.20</w:t>
            </w:r>
          </w:p>
        </w:tc>
      </w:tr>
      <w:tr w:rsidR="00286C84" w:rsidRPr="00345136" w14:paraId="26819682" w14:textId="77777777" w:rsidTr="00286C84">
        <w:trPr>
          <w:trHeight w:val="300"/>
        </w:trPr>
        <w:tc>
          <w:tcPr>
            <w:tcW w:w="10763" w:type="dxa"/>
            <w:gridSpan w:val="6"/>
            <w:tcBorders>
              <w:top w:val="nil"/>
              <w:left w:val="nil"/>
              <w:bottom w:val="nil"/>
              <w:right w:val="nil"/>
            </w:tcBorders>
            <w:vAlign w:val="center"/>
            <w:hideMark/>
          </w:tcPr>
          <w:p w14:paraId="1D46218B" w14:textId="77777777" w:rsidR="00286C84" w:rsidRPr="00345136" w:rsidRDefault="00286C84" w:rsidP="00286C84">
            <w:pPr>
              <w:spacing w:line="240" w:lineRule="auto"/>
              <w:jc w:val="center"/>
              <w:rPr>
                <w:rFonts w:eastAsia="Times New Roman"/>
                <w:color w:val="000000"/>
                <w:sz w:val="18"/>
                <w:szCs w:val="18"/>
              </w:rPr>
            </w:pPr>
            <w:r w:rsidRPr="00345136">
              <w:rPr>
                <w:rFonts w:eastAsia="Times New Roman"/>
                <w:color w:val="000000"/>
                <w:sz w:val="18"/>
                <w:szCs w:val="18"/>
              </w:rPr>
              <w:t>¹ Intervals contain no more than 3 continuous metres grading less than 0.1 g/t gold.</w:t>
            </w:r>
          </w:p>
        </w:tc>
      </w:tr>
    </w:tbl>
    <w:p w14:paraId="2D57F650" w14:textId="77777777" w:rsidR="00D10B14" w:rsidRPr="00345136" w:rsidRDefault="00D10B14" w:rsidP="00AF4C09">
      <w:pPr>
        <w:spacing w:line="240" w:lineRule="auto"/>
        <w:jc w:val="both"/>
        <w:rPr>
          <w:b/>
          <w:bCs/>
          <w:noProof/>
        </w:rPr>
      </w:pPr>
    </w:p>
    <w:p w14:paraId="6FE8FD74" w14:textId="4B748469" w:rsidR="00CA5B19" w:rsidRPr="00345136" w:rsidRDefault="00CA5B19" w:rsidP="00042FBC">
      <w:pPr>
        <w:spacing w:line="240" w:lineRule="auto"/>
        <w:jc w:val="center"/>
      </w:pPr>
      <w:r w:rsidRPr="00345136">
        <w:rPr>
          <w:b/>
          <w:bCs/>
        </w:rPr>
        <w:t xml:space="preserve">Table 1. </w:t>
      </w:r>
      <w:r w:rsidR="00613D3F" w:rsidRPr="00345136">
        <w:rPr>
          <w:b/>
          <w:bCs/>
        </w:rPr>
        <w:t xml:space="preserve">Results </w:t>
      </w:r>
      <w:r w:rsidR="00D026AB" w:rsidRPr="00345136">
        <w:rPr>
          <w:b/>
          <w:bCs/>
        </w:rPr>
        <w:t xml:space="preserve">from </w:t>
      </w:r>
      <w:r w:rsidR="00613D3F" w:rsidRPr="00345136">
        <w:rPr>
          <w:b/>
          <w:bCs/>
        </w:rPr>
        <w:t>the latest</w:t>
      </w:r>
      <w:r w:rsidR="00D026AB" w:rsidRPr="00345136">
        <w:rPr>
          <w:b/>
          <w:bCs/>
        </w:rPr>
        <w:t xml:space="preserve"> batch of drill holes.</w:t>
      </w:r>
      <w:r w:rsidR="00661FFB" w:rsidRPr="00345136">
        <w:rPr>
          <w:b/>
          <w:bCs/>
        </w:rPr>
        <w:t xml:space="preserve"> </w:t>
      </w:r>
      <w:r w:rsidR="00E61FEF" w:rsidRPr="00345136">
        <w:t>Note:</w:t>
      </w:r>
      <w:r w:rsidR="00E61FEF" w:rsidRPr="00345136">
        <w:rPr>
          <w:b/>
          <w:bCs/>
        </w:rPr>
        <w:t xml:space="preserve"> </w:t>
      </w:r>
      <w:r w:rsidR="00661FFB" w:rsidRPr="00345136">
        <w:t>There is insufficient geological information to estimate a true width for the drill intercepts reported.</w:t>
      </w:r>
    </w:p>
    <w:p w14:paraId="6710FDDA" w14:textId="77777777" w:rsidR="00B9514A" w:rsidRPr="00345136" w:rsidRDefault="00B9514A" w:rsidP="00AF4C09">
      <w:pPr>
        <w:spacing w:line="240" w:lineRule="auto"/>
        <w:jc w:val="both"/>
        <w:rPr>
          <w:b/>
          <w:bCs/>
          <w:highlight w:val="yellow"/>
        </w:rPr>
      </w:pPr>
    </w:p>
    <w:p w14:paraId="44BDFBBB" w14:textId="20E62EE3" w:rsidR="005B3162" w:rsidRPr="00345136" w:rsidRDefault="005B3162" w:rsidP="00613D3F">
      <w:pPr>
        <w:spacing w:line="240" w:lineRule="auto"/>
        <w:jc w:val="both"/>
        <w:rPr>
          <w:b/>
          <w:bCs/>
        </w:rPr>
      </w:pPr>
      <w:r w:rsidRPr="00345136">
        <w:rPr>
          <w:b/>
          <w:bCs/>
        </w:rPr>
        <w:t>Completed hole summaries, reported results</w:t>
      </w:r>
      <w:r w:rsidR="00DE4E78">
        <w:rPr>
          <w:b/>
          <w:bCs/>
        </w:rPr>
        <w:t xml:space="preserve">, </w:t>
      </w:r>
      <w:r w:rsidR="00DE4E78" w:rsidRPr="00DE4E78">
        <w:t>see</w:t>
      </w:r>
      <w:r w:rsidR="00DE4E78">
        <w:rPr>
          <w:b/>
          <w:bCs/>
        </w:rPr>
        <w:t xml:space="preserve"> Figure 1</w:t>
      </w:r>
      <w:r w:rsidR="007D0101" w:rsidRPr="00345136">
        <w:rPr>
          <w:b/>
          <w:bCs/>
        </w:rPr>
        <w:t>:</w:t>
      </w:r>
    </w:p>
    <w:p w14:paraId="08AB20B9" w14:textId="77777777" w:rsidR="005B3162" w:rsidRPr="00345136" w:rsidRDefault="005B3162" w:rsidP="00613D3F">
      <w:pPr>
        <w:spacing w:line="240" w:lineRule="auto"/>
        <w:jc w:val="both"/>
        <w:rPr>
          <w:b/>
          <w:bCs/>
        </w:rPr>
      </w:pPr>
    </w:p>
    <w:p w14:paraId="334F719F" w14:textId="57A17307" w:rsidR="00E7698C" w:rsidRPr="00345136" w:rsidRDefault="002833F3" w:rsidP="00613D3F">
      <w:pPr>
        <w:spacing w:line="240" w:lineRule="auto"/>
        <w:jc w:val="both"/>
        <w:rPr>
          <w:highlight w:val="yellow"/>
        </w:rPr>
      </w:pPr>
      <w:r w:rsidRPr="00345136">
        <w:rPr>
          <w:b/>
          <w:bCs/>
        </w:rPr>
        <w:t>Hole 25MN-0</w:t>
      </w:r>
      <w:r w:rsidR="00B1588C" w:rsidRPr="00345136">
        <w:rPr>
          <w:b/>
          <w:bCs/>
        </w:rPr>
        <w:t>34</w:t>
      </w:r>
      <w:r w:rsidR="00B13E20" w:rsidRPr="00345136">
        <w:t xml:space="preserve">, </w:t>
      </w:r>
      <w:r w:rsidR="00E7698C" w:rsidRPr="00345136">
        <w:t xml:space="preserve">contained three intervals, all hosted in fine grained clastic units, of </w:t>
      </w:r>
      <w:r w:rsidR="003B2451" w:rsidRPr="00345136">
        <w:t>19.39</w:t>
      </w:r>
      <w:r w:rsidR="00E7698C" w:rsidRPr="00345136">
        <w:t xml:space="preserve"> m, </w:t>
      </w:r>
      <w:r w:rsidR="003B2451" w:rsidRPr="00345136">
        <w:t>5.49</w:t>
      </w:r>
      <w:r w:rsidR="00E7698C" w:rsidRPr="00345136">
        <w:t xml:space="preserve"> m and </w:t>
      </w:r>
      <w:r w:rsidR="003B2451" w:rsidRPr="00345136">
        <w:t>9.8</w:t>
      </w:r>
      <w:r w:rsidR="00E7698C" w:rsidRPr="00345136">
        <w:t xml:space="preserve"> m grading </w:t>
      </w:r>
      <w:r w:rsidR="00613D3F" w:rsidRPr="00345136">
        <w:t>0.</w:t>
      </w:r>
      <w:r w:rsidR="003B2451" w:rsidRPr="00345136">
        <w:t>51</w:t>
      </w:r>
      <w:r w:rsidR="00E7698C" w:rsidRPr="00345136">
        <w:t xml:space="preserve"> g/t gold, </w:t>
      </w:r>
      <w:r w:rsidR="00613D3F" w:rsidRPr="00345136">
        <w:t>0.2</w:t>
      </w:r>
      <w:r w:rsidR="003B2451" w:rsidRPr="00345136">
        <w:t>0</w:t>
      </w:r>
      <w:r w:rsidR="00E7698C" w:rsidRPr="00345136">
        <w:t xml:space="preserve"> g/t gold and 0.</w:t>
      </w:r>
      <w:r w:rsidR="003B2451" w:rsidRPr="00345136">
        <w:t>24</w:t>
      </w:r>
      <w:r w:rsidR="00E7698C" w:rsidRPr="00345136">
        <w:t xml:space="preserve"> g/t gold respectively</w:t>
      </w:r>
      <w:r w:rsidR="00613D3F" w:rsidRPr="00345136">
        <w:t xml:space="preserve">. The first </w:t>
      </w:r>
      <w:r w:rsidR="0073721E" w:rsidRPr="00345136">
        <w:t xml:space="preserve">two </w:t>
      </w:r>
      <w:r w:rsidR="00613D3F" w:rsidRPr="00345136">
        <w:t xml:space="preserve">intervals fall within the </w:t>
      </w:r>
      <w:proofErr w:type="gramStart"/>
      <w:r w:rsidR="00613D3F" w:rsidRPr="00345136">
        <w:t>IRCP</w:t>
      </w:r>
      <w:proofErr w:type="gramEnd"/>
      <w:r w:rsidR="00613D3F" w:rsidRPr="00345136">
        <w:t xml:space="preserve"> and the </w:t>
      </w:r>
      <w:r w:rsidR="0073721E" w:rsidRPr="00345136">
        <w:t>last</w:t>
      </w:r>
      <w:r w:rsidR="00613D3F" w:rsidRPr="00345136">
        <w:t xml:space="preserve"> intercept</w:t>
      </w:r>
      <w:r w:rsidR="00E7698C" w:rsidRPr="00345136">
        <w:t xml:space="preserve"> </w:t>
      </w:r>
      <w:r w:rsidR="0073721E" w:rsidRPr="00345136">
        <w:t>is</w:t>
      </w:r>
      <w:r w:rsidR="00E7698C" w:rsidRPr="00345136">
        <w:t xml:space="preserve"> located </w:t>
      </w:r>
      <w:r w:rsidR="0D2449E2" w:rsidRPr="00345136">
        <w:t>approximately 47</w:t>
      </w:r>
      <w:r w:rsidR="00E7698C" w:rsidRPr="00345136">
        <w:t xml:space="preserve"> m below the IRCP.</w:t>
      </w:r>
      <w:r w:rsidR="00AA7F92">
        <w:t xml:space="preserve"> </w:t>
      </w:r>
      <w:r w:rsidR="00DE4E78">
        <w:t>See</w:t>
      </w:r>
      <w:r w:rsidR="00AA7F92">
        <w:t xml:space="preserve"> </w:t>
      </w:r>
      <w:r w:rsidR="00AA7F92" w:rsidRPr="00AA7F92">
        <w:rPr>
          <w:b/>
          <w:bCs/>
        </w:rPr>
        <w:t>Figure 2</w:t>
      </w:r>
      <w:r w:rsidR="00AA7F92">
        <w:t>, section A to A’.</w:t>
      </w:r>
    </w:p>
    <w:p w14:paraId="3A83395F" w14:textId="77777777" w:rsidR="00BC09A0" w:rsidRPr="00345136" w:rsidRDefault="00BC09A0" w:rsidP="00BC09A0">
      <w:pPr>
        <w:spacing w:line="240" w:lineRule="auto"/>
        <w:jc w:val="both"/>
        <w:rPr>
          <w:highlight w:val="yellow"/>
        </w:rPr>
      </w:pPr>
    </w:p>
    <w:p w14:paraId="71CC4B27" w14:textId="4EB028EE" w:rsidR="00E7698C" w:rsidRPr="00345136" w:rsidRDefault="00BC09A0" w:rsidP="00BC09A0">
      <w:pPr>
        <w:spacing w:line="240" w:lineRule="auto"/>
        <w:jc w:val="both"/>
        <w:rPr>
          <w:highlight w:val="yellow"/>
        </w:rPr>
      </w:pPr>
      <w:r w:rsidRPr="00345136">
        <w:rPr>
          <w:b/>
          <w:bCs/>
        </w:rPr>
        <w:t>Hole 25MN-</w:t>
      </w:r>
      <w:r w:rsidR="00E7698C" w:rsidRPr="00345136">
        <w:rPr>
          <w:b/>
          <w:bCs/>
        </w:rPr>
        <w:t>0</w:t>
      </w:r>
      <w:r w:rsidR="00B1588C" w:rsidRPr="00345136">
        <w:rPr>
          <w:b/>
          <w:bCs/>
        </w:rPr>
        <w:t>35</w:t>
      </w:r>
      <w:r w:rsidRPr="00345136">
        <w:t xml:space="preserve">, </w:t>
      </w:r>
      <w:r w:rsidR="00E7698C" w:rsidRPr="00345136">
        <w:t xml:space="preserve">contained </w:t>
      </w:r>
      <w:r w:rsidR="00FF380A" w:rsidRPr="00345136">
        <w:t xml:space="preserve">one significant </w:t>
      </w:r>
      <w:r w:rsidR="00E7698C" w:rsidRPr="00345136">
        <w:t>interval</w:t>
      </w:r>
      <w:r w:rsidR="0024377D" w:rsidRPr="00345136">
        <w:t xml:space="preserve">, hosted in fine grained clastic </w:t>
      </w:r>
      <w:r w:rsidR="002A3CF5" w:rsidRPr="00345136">
        <w:t>units,</w:t>
      </w:r>
      <w:r w:rsidR="00E7698C" w:rsidRPr="00345136">
        <w:t xml:space="preserve"> of </w:t>
      </w:r>
      <w:r w:rsidR="002A3CF5" w:rsidRPr="00345136">
        <w:t>7.01</w:t>
      </w:r>
      <w:r w:rsidR="00E7698C" w:rsidRPr="00345136">
        <w:t xml:space="preserve"> m grading 0.25 g/t gold,</w:t>
      </w:r>
      <w:r w:rsidR="008840E3" w:rsidRPr="00345136">
        <w:t xml:space="preserve"> within the IRCP.</w:t>
      </w:r>
      <w:r w:rsidR="00AA7F92" w:rsidRPr="00AA7F92">
        <w:t xml:space="preserve"> </w:t>
      </w:r>
      <w:r w:rsidR="00AA7F92">
        <w:t>S</w:t>
      </w:r>
      <w:r w:rsidR="00DE4E78">
        <w:t xml:space="preserve">ee </w:t>
      </w:r>
      <w:r w:rsidR="00AA7F92" w:rsidRPr="00AA7F92">
        <w:rPr>
          <w:b/>
          <w:bCs/>
        </w:rPr>
        <w:t xml:space="preserve">Figure </w:t>
      </w:r>
      <w:r w:rsidR="00AA7F92">
        <w:rPr>
          <w:b/>
          <w:bCs/>
        </w:rPr>
        <w:t>3</w:t>
      </w:r>
      <w:r w:rsidR="00AA7F92">
        <w:t>, section B to B’.</w:t>
      </w:r>
    </w:p>
    <w:p w14:paraId="12550068" w14:textId="77777777" w:rsidR="00B13E20" w:rsidRPr="00345136" w:rsidRDefault="00B13E20" w:rsidP="00AF4C09">
      <w:pPr>
        <w:spacing w:line="240" w:lineRule="auto"/>
        <w:jc w:val="both"/>
        <w:rPr>
          <w:highlight w:val="yellow"/>
        </w:rPr>
      </w:pPr>
    </w:p>
    <w:p w14:paraId="13A1308F" w14:textId="2B368B3A" w:rsidR="00E7698C" w:rsidRPr="00345136" w:rsidRDefault="00B13E20" w:rsidP="00AF4C09">
      <w:pPr>
        <w:spacing w:line="240" w:lineRule="auto"/>
        <w:jc w:val="both"/>
        <w:rPr>
          <w:highlight w:val="yellow"/>
        </w:rPr>
      </w:pPr>
      <w:r w:rsidRPr="00345136">
        <w:rPr>
          <w:b/>
          <w:bCs/>
        </w:rPr>
        <w:t>Hole 25MN-0</w:t>
      </w:r>
      <w:r w:rsidR="00B1588C" w:rsidRPr="00345136">
        <w:rPr>
          <w:b/>
          <w:bCs/>
        </w:rPr>
        <w:t>36</w:t>
      </w:r>
      <w:r w:rsidR="00E7698C" w:rsidRPr="00345136">
        <w:t xml:space="preserve">, </w:t>
      </w:r>
      <w:r w:rsidR="002A3CF5" w:rsidRPr="00345136">
        <w:t xml:space="preserve">contains </w:t>
      </w:r>
      <w:r w:rsidR="00166931" w:rsidRPr="00345136">
        <w:t xml:space="preserve">three intervals, all hosted in fine grained clastic units, of </w:t>
      </w:r>
      <w:r w:rsidR="00D26D06" w:rsidRPr="00345136">
        <w:t>7.86</w:t>
      </w:r>
      <w:r w:rsidR="00166931" w:rsidRPr="00345136">
        <w:t xml:space="preserve"> m, </w:t>
      </w:r>
      <w:r w:rsidR="00D26D06" w:rsidRPr="00345136">
        <w:t>25.02</w:t>
      </w:r>
      <w:r w:rsidR="00166931" w:rsidRPr="00345136">
        <w:t xml:space="preserve"> m and </w:t>
      </w:r>
      <w:r w:rsidR="00D26D06" w:rsidRPr="00345136">
        <w:t>2.16</w:t>
      </w:r>
      <w:r w:rsidR="00166931" w:rsidRPr="00345136">
        <w:t xml:space="preserve"> m grading 0.</w:t>
      </w:r>
      <w:r w:rsidR="00D26D06" w:rsidRPr="00345136">
        <w:t>3</w:t>
      </w:r>
      <w:r w:rsidR="00166931" w:rsidRPr="00345136">
        <w:t>1 g/t gold, 0.</w:t>
      </w:r>
      <w:r w:rsidR="00D26D06" w:rsidRPr="00345136">
        <w:t>76</w:t>
      </w:r>
      <w:r w:rsidR="00166931" w:rsidRPr="00345136">
        <w:t xml:space="preserve"> g/t gold and </w:t>
      </w:r>
      <w:r w:rsidR="00956880" w:rsidRPr="00345136">
        <w:t>1.20</w:t>
      </w:r>
      <w:r w:rsidR="00166931" w:rsidRPr="00345136">
        <w:t xml:space="preserve"> g/t gold respectively. </w:t>
      </w:r>
      <w:r w:rsidR="0065786C" w:rsidRPr="00345136">
        <w:t>All</w:t>
      </w:r>
      <w:r w:rsidR="00166931" w:rsidRPr="00345136">
        <w:t xml:space="preserve"> these intervals fall within the IRCP</w:t>
      </w:r>
      <w:r w:rsidR="0065786C" w:rsidRPr="00345136">
        <w:t>.</w:t>
      </w:r>
      <w:r w:rsidR="00AA7F92" w:rsidRPr="00AA7F92">
        <w:t xml:space="preserve"> </w:t>
      </w:r>
      <w:r w:rsidR="00AA7F92">
        <w:t>S</w:t>
      </w:r>
      <w:r w:rsidR="00DE4E78">
        <w:t xml:space="preserve">ee </w:t>
      </w:r>
      <w:r w:rsidR="00AA7F92" w:rsidRPr="00AA7F92">
        <w:rPr>
          <w:b/>
          <w:bCs/>
        </w:rPr>
        <w:t>Figure 2</w:t>
      </w:r>
      <w:r w:rsidR="00AA7F92">
        <w:t>, section A to A’.</w:t>
      </w:r>
      <w:r w:rsidR="00166931" w:rsidRPr="00345136">
        <w:t xml:space="preserve"> </w:t>
      </w:r>
    </w:p>
    <w:p w14:paraId="594847E5" w14:textId="77777777" w:rsidR="00CA5B19" w:rsidRPr="00345136" w:rsidRDefault="00CA5B19" w:rsidP="00AF4C09">
      <w:pPr>
        <w:spacing w:line="240" w:lineRule="auto"/>
        <w:jc w:val="both"/>
        <w:rPr>
          <w:highlight w:val="yellow"/>
        </w:rPr>
      </w:pPr>
    </w:p>
    <w:p w14:paraId="05BF2581" w14:textId="0E071A7D" w:rsidR="00E7698C" w:rsidRPr="00345136" w:rsidRDefault="006A7C3F" w:rsidP="00684114">
      <w:pPr>
        <w:spacing w:line="240" w:lineRule="auto"/>
        <w:jc w:val="center"/>
      </w:pPr>
      <w:r>
        <w:rPr>
          <w:noProof/>
        </w:rPr>
        <w:drawing>
          <wp:inline distT="0" distB="0" distL="0" distR="0" wp14:anchorId="418FDEA3" wp14:editId="5B3175CE">
            <wp:extent cx="6023113" cy="5138986"/>
            <wp:effectExtent l="0" t="0" r="0" b="5080"/>
            <wp:docPr id="18198995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99583" name="Picture 1" descr="A screenshot of a computer scree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031971" cy="5146544"/>
                    </a:xfrm>
                    <a:prstGeom prst="rect">
                      <a:avLst/>
                    </a:prstGeom>
                  </pic:spPr>
                </pic:pic>
              </a:graphicData>
            </a:graphic>
          </wp:inline>
        </w:drawing>
      </w:r>
    </w:p>
    <w:p w14:paraId="6951D166" w14:textId="6B617FF4" w:rsidR="00E7698C" w:rsidRPr="00345136" w:rsidRDefault="00E7698C" w:rsidP="00042FBC">
      <w:pPr>
        <w:spacing w:line="240" w:lineRule="auto"/>
        <w:jc w:val="center"/>
        <w:rPr>
          <w:b/>
          <w:bCs/>
        </w:rPr>
      </w:pPr>
      <w:r w:rsidRPr="00345136">
        <w:rPr>
          <w:b/>
          <w:bCs/>
        </w:rPr>
        <w:t xml:space="preserve">Figure </w:t>
      </w:r>
      <w:r w:rsidR="00B82E73" w:rsidRPr="00345136">
        <w:rPr>
          <w:b/>
          <w:bCs/>
        </w:rPr>
        <w:t>2</w:t>
      </w:r>
      <w:r w:rsidRPr="00345136">
        <w:rPr>
          <w:b/>
          <w:bCs/>
        </w:rPr>
        <w:t>. Section A-A, along trace of hole</w:t>
      </w:r>
      <w:r w:rsidR="009810C8" w:rsidRPr="00345136">
        <w:rPr>
          <w:b/>
          <w:bCs/>
        </w:rPr>
        <w:t>s</w:t>
      </w:r>
      <w:r w:rsidRPr="00345136">
        <w:rPr>
          <w:b/>
          <w:bCs/>
        </w:rPr>
        <w:t xml:space="preserve"> 25MN-03</w:t>
      </w:r>
      <w:r w:rsidR="009810C8" w:rsidRPr="00345136">
        <w:rPr>
          <w:b/>
          <w:bCs/>
        </w:rPr>
        <w:t>4 and 25MN-036,</w:t>
      </w:r>
      <w:r w:rsidRPr="00345136">
        <w:rPr>
          <w:b/>
          <w:bCs/>
        </w:rPr>
        <w:t xml:space="preserve"> showing gold grades with reported intervals highlighted</w:t>
      </w:r>
      <w:r w:rsidR="006352BD" w:rsidRPr="00345136">
        <w:rPr>
          <w:b/>
          <w:bCs/>
        </w:rPr>
        <w:t>.</w:t>
      </w:r>
    </w:p>
    <w:p w14:paraId="693E2B3E" w14:textId="77777777" w:rsidR="00095BBA" w:rsidRDefault="00095BBA" w:rsidP="00962EC0">
      <w:pPr>
        <w:spacing w:line="240" w:lineRule="auto"/>
        <w:jc w:val="center"/>
        <w:rPr>
          <w:noProof/>
        </w:rPr>
      </w:pPr>
    </w:p>
    <w:p w14:paraId="6DA84635" w14:textId="1C404906" w:rsidR="004A0217" w:rsidRPr="00345136" w:rsidRDefault="004A0217" w:rsidP="00962EC0">
      <w:pPr>
        <w:spacing w:line="240" w:lineRule="auto"/>
        <w:jc w:val="center"/>
      </w:pPr>
      <w:r w:rsidRPr="00345136">
        <w:rPr>
          <w:noProof/>
        </w:rPr>
        <w:lastRenderedPageBreak/>
        <w:drawing>
          <wp:inline distT="0" distB="0" distL="0" distR="0" wp14:anchorId="19A0BC08" wp14:editId="32A79667">
            <wp:extent cx="6739200" cy="5705241"/>
            <wp:effectExtent l="19050" t="19050" r="24130" b="10160"/>
            <wp:docPr id="195435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59052" name="Picture 1"/>
                    <pic:cNvPicPr/>
                  </pic:nvPicPr>
                  <pic:blipFill rotWithShape="1">
                    <a:blip r:embed="rId16" cstate="print">
                      <a:extLst>
                        <a:ext uri="{28A0092B-C50C-407E-A947-70E740481C1C}">
                          <a14:useLocalDpi xmlns:a14="http://schemas.microsoft.com/office/drawing/2010/main" val="0"/>
                        </a:ext>
                      </a:extLst>
                    </a:blip>
                    <a:srcRect r="25721"/>
                    <a:stretch>
                      <a:fillRect/>
                    </a:stretch>
                  </pic:blipFill>
                  <pic:spPr bwMode="auto">
                    <a:xfrm>
                      <a:off x="0" y="0"/>
                      <a:ext cx="6739200" cy="570524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9A4D9F" w14:textId="51A20CB9" w:rsidR="004A0217" w:rsidRPr="00345136" w:rsidRDefault="004A0217" w:rsidP="004A0217">
      <w:pPr>
        <w:spacing w:line="240" w:lineRule="auto"/>
        <w:jc w:val="center"/>
        <w:rPr>
          <w:b/>
          <w:bCs/>
        </w:rPr>
      </w:pPr>
      <w:r w:rsidRPr="00345136">
        <w:rPr>
          <w:b/>
          <w:bCs/>
        </w:rPr>
        <w:t>Figure 3. Section B-B’, along trace of holes 25MN-03</w:t>
      </w:r>
      <w:r w:rsidR="00D110B4" w:rsidRPr="00345136">
        <w:rPr>
          <w:b/>
          <w:bCs/>
        </w:rPr>
        <w:t>5</w:t>
      </w:r>
      <w:r w:rsidRPr="00345136">
        <w:rPr>
          <w:b/>
          <w:bCs/>
        </w:rPr>
        <w:t xml:space="preserve">, </w:t>
      </w:r>
      <w:r w:rsidR="00962EC0" w:rsidRPr="00345136">
        <w:rPr>
          <w:b/>
          <w:bCs/>
        </w:rPr>
        <w:t>showing gold grades with reported intervals highlighted.</w:t>
      </w:r>
    </w:p>
    <w:p w14:paraId="286464DE" w14:textId="77777777" w:rsidR="00E7698C" w:rsidRPr="00345136" w:rsidRDefault="00E7698C" w:rsidP="00AF4C09">
      <w:pPr>
        <w:spacing w:line="240" w:lineRule="auto"/>
        <w:jc w:val="both"/>
      </w:pPr>
    </w:p>
    <w:p w14:paraId="2B6E3D94" w14:textId="34561B9D" w:rsidR="005B3162" w:rsidRPr="00345136" w:rsidRDefault="00B82E73" w:rsidP="00AF4C09">
      <w:pPr>
        <w:spacing w:line="240" w:lineRule="auto"/>
        <w:jc w:val="both"/>
        <w:rPr>
          <w:b/>
          <w:bCs/>
        </w:rPr>
      </w:pPr>
      <w:r w:rsidRPr="00345136">
        <w:rPr>
          <w:b/>
          <w:bCs/>
        </w:rPr>
        <w:t>Completed hole summaries, assays pending</w:t>
      </w:r>
      <w:r w:rsidR="00AA7F92">
        <w:rPr>
          <w:b/>
          <w:bCs/>
        </w:rPr>
        <w:t xml:space="preserve">, </w:t>
      </w:r>
      <w:r w:rsidR="00DE4E78">
        <w:t>see</w:t>
      </w:r>
      <w:r w:rsidR="00AA7F92">
        <w:rPr>
          <w:b/>
          <w:bCs/>
        </w:rPr>
        <w:t xml:space="preserve"> Figure 4</w:t>
      </w:r>
      <w:r w:rsidR="00E61FEF" w:rsidRPr="00345136">
        <w:rPr>
          <w:b/>
          <w:bCs/>
        </w:rPr>
        <w:t>:</w:t>
      </w:r>
      <w:r w:rsidRPr="00345136">
        <w:rPr>
          <w:b/>
          <w:bCs/>
        </w:rPr>
        <w:t xml:space="preserve"> </w:t>
      </w:r>
    </w:p>
    <w:p w14:paraId="28704824" w14:textId="77777777" w:rsidR="005B3162" w:rsidRPr="00345136" w:rsidRDefault="005B3162" w:rsidP="00AF4C09">
      <w:pPr>
        <w:spacing w:line="240" w:lineRule="auto"/>
        <w:jc w:val="both"/>
        <w:rPr>
          <w:b/>
          <w:bCs/>
        </w:rPr>
      </w:pPr>
    </w:p>
    <w:p w14:paraId="471A56C0" w14:textId="06C5BE89" w:rsidR="00B82E73" w:rsidRPr="00345136" w:rsidRDefault="00F909EB" w:rsidP="00B82E73">
      <w:pPr>
        <w:spacing w:line="240" w:lineRule="auto"/>
        <w:jc w:val="both"/>
      </w:pPr>
      <w:r w:rsidRPr="00345136">
        <w:rPr>
          <w:b/>
          <w:bCs/>
        </w:rPr>
        <w:t>2</w:t>
      </w:r>
      <w:r w:rsidR="00E61FEF" w:rsidRPr="00345136">
        <w:rPr>
          <w:b/>
          <w:bCs/>
        </w:rPr>
        <w:t>5MN-037</w:t>
      </w:r>
      <w:r w:rsidR="00B82E73" w:rsidRPr="00345136">
        <w:t xml:space="preserve">: </w:t>
      </w:r>
      <w:r w:rsidR="00DB35E7" w:rsidRPr="00345136">
        <w:t>d</w:t>
      </w:r>
      <w:r w:rsidR="00B82E73" w:rsidRPr="00345136">
        <w:t xml:space="preserve">rilled at the southern end of the historic West Pit, </w:t>
      </w:r>
      <w:r w:rsidR="001E1223" w:rsidRPr="00345136">
        <w:t>10</w:t>
      </w:r>
      <w:r w:rsidR="002D61A6" w:rsidRPr="00345136">
        <w:t>0</w:t>
      </w:r>
      <w:r w:rsidR="00B82E73" w:rsidRPr="00345136">
        <w:t xml:space="preserve"> m to the </w:t>
      </w:r>
      <w:r w:rsidR="001E1223" w:rsidRPr="00345136">
        <w:t xml:space="preserve">north </w:t>
      </w:r>
      <w:r w:rsidR="00B82E73" w:rsidRPr="00345136">
        <w:t xml:space="preserve">of </w:t>
      </w:r>
      <w:r w:rsidR="00956880" w:rsidRPr="00345136">
        <w:t>25MN-</w:t>
      </w:r>
      <w:r w:rsidR="00B82E73" w:rsidRPr="00345136">
        <w:t>03</w:t>
      </w:r>
      <w:r w:rsidR="00DE48E5" w:rsidRPr="00345136">
        <w:t>5</w:t>
      </w:r>
      <w:r w:rsidR="00BC53F3" w:rsidRPr="00345136">
        <w:t>.</w:t>
      </w:r>
    </w:p>
    <w:p w14:paraId="24A1E3D2" w14:textId="77777777" w:rsidR="00B82E73" w:rsidRPr="00345136" w:rsidRDefault="00B82E73" w:rsidP="00B82E73">
      <w:pPr>
        <w:spacing w:line="240" w:lineRule="auto"/>
        <w:jc w:val="both"/>
      </w:pPr>
    </w:p>
    <w:p w14:paraId="587ED831" w14:textId="312DC4C6" w:rsidR="00B82E73" w:rsidRPr="00345136" w:rsidRDefault="00E61FEF" w:rsidP="00B82E73">
      <w:pPr>
        <w:spacing w:line="240" w:lineRule="auto"/>
        <w:jc w:val="both"/>
      </w:pPr>
      <w:r w:rsidRPr="00345136">
        <w:rPr>
          <w:b/>
          <w:bCs/>
        </w:rPr>
        <w:t>25MN-03</w:t>
      </w:r>
      <w:r w:rsidR="006264D8" w:rsidRPr="00345136">
        <w:rPr>
          <w:b/>
          <w:bCs/>
        </w:rPr>
        <w:t>8</w:t>
      </w:r>
      <w:r w:rsidR="00B82E73" w:rsidRPr="00345136">
        <w:t xml:space="preserve">: </w:t>
      </w:r>
      <w:r w:rsidR="00DB35E7" w:rsidRPr="00345136">
        <w:t>d</w:t>
      </w:r>
      <w:r w:rsidR="00B82E73" w:rsidRPr="00345136">
        <w:t>rilled at the southern end of the historic West Pit, within a structurally complex zone.</w:t>
      </w:r>
    </w:p>
    <w:p w14:paraId="71C09219" w14:textId="77777777" w:rsidR="00B82E73" w:rsidRPr="00345136" w:rsidRDefault="00B82E73" w:rsidP="00B82E73">
      <w:pPr>
        <w:spacing w:line="240" w:lineRule="auto"/>
        <w:jc w:val="both"/>
      </w:pPr>
    </w:p>
    <w:p w14:paraId="330BC6D5" w14:textId="3F0F9CC5" w:rsidR="00B82E73" w:rsidRPr="00345136" w:rsidRDefault="006264D8" w:rsidP="00B82E73">
      <w:pPr>
        <w:spacing w:line="240" w:lineRule="auto"/>
        <w:jc w:val="both"/>
      </w:pPr>
      <w:r w:rsidRPr="00345136">
        <w:rPr>
          <w:b/>
          <w:bCs/>
        </w:rPr>
        <w:t>25MN</w:t>
      </w:r>
      <w:r w:rsidR="00B82E73" w:rsidRPr="00345136">
        <w:rPr>
          <w:b/>
          <w:bCs/>
        </w:rPr>
        <w:t>-039</w:t>
      </w:r>
      <w:r w:rsidR="00B82E73" w:rsidRPr="00345136">
        <w:t xml:space="preserve">: </w:t>
      </w:r>
      <w:r w:rsidR="00DB35E7" w:rsidRPr="00345136">
        <w:t>d</w:t>
      </w:r>
      <w:r w:rsidR="00B82E73" w:rsidRPr="00345136">
        <w:t>rilled as a 50</w:t>
      </w:r>
      <w:r w:rsidR="00CC2592" w:rsidRPr="00345136">
        <w:t xml:space="preserve"> </w:t>
      </w:r>
      <w:r w:rsidR="00B82E73" w:rsidRPr="00345136">
        <w:t xml:space="preserve">m step out </w:t>
      </w:r>
      <w:r w:rsidR="00CC2592" w:rsidRPr="00345136">
        <w:t>to</w:t>
      </w:r>
      <w:r w:rsidR="00B82E73" w:rsidRPr="00345136">
        <w:t xml:space="preserve"> drill hole </w:t>
      </w:r>
      <w:r w:rsidR="00CC2592" w:rsidRPr="00345136">
        <w:t>25MN</w:t>
      </w:r>
      <w:r w:rsidR="00B82E73" w:rsidRPr="00345136">
        <w:t>-036, to the north</w:t>
      </w:r>
      <w:r w:rsidR="00CC2592" w:rsidRPr="00345136">
        <w:t>-</w:t>
      </w:r>
      <w:r w:rsidR="00B82E73" w:rsidRPr="00345136">
        <w:t>northwest, on the Reliance Trend.</w:t>
      </w:r>
    </w:p>
    <w:p w14:paraId="1538C4D7" w14:textId="65D7ADF9" w:rsidR="00B82E73" w:rsidRPr="00345136" w:rsidRDefault="00B82E73" w:rsidP="00B82E73">
      <w:pPr>
        <w:spacing w:line="240" w:lineRule="auto"/>
        <w:jc w:val="both"/>
      </w:pPr>
    </w:p>
    <w:p w14:paraId="3DE43B4E" w14:textId="512874D4" w:rsidR="00B82E73" w:rsidRPr="00345136" w:rsidRDefault="006264D8" w:rsidP="00B82E73">
      <w:pPr>
        <w:spacing w:line="240" w:lineRule="auto"/>
        <w:jc w:val="both"/>
      </w:pPr>
      <w:r w:rsidRPr="00345136">
        <w:rPr>
          <w:b/>
          <w:bCs/>
        </w:rPr>
        <w:t>25MN</w:t>
      </w:r>
      <w:r w:rsidR="00B82E73" w:rsidRPr="00345136">
        <w:rPr>
          <w:b/>
          <w:bCs/>
        </w:rPr>
        <w:t>-040</w:t>
      </w:r>
      <w:r w:rsidR="00B82E73" w:rsidRPr="00345136">
        <w:t xml:space="preserve">: </w:t>
      </w:r>
      <w:r w:rsidR="00DB35E7" w:rsidRPr="00345136">
        <w:t>d</w:t>
      </w:r>
      <w:r w:rsidR="00BB20B3" w:rsidRPr="00345136">
        <w:t xml:space="preserve">rilled as a 50 m step out on hole </w:t>
      </w:r>
      <w:r w:rsidR="00E20923" w:rsidRPr="00345136">
        <w:t>25MN</w:t>
      </w:r>
      <w:r w:rsidR="00BB20B3" w:rsidRPr="00345136">
        <w:t>-038, to the east</w:t>
      </w:r>
      <w:r w:rsidR="00E20923" w:rsidRPr="00345136">
        <w:t>-</w:t>
      </w:r>
      <w:r w:rsidR="00BB20B3" w:rsidRPr="00345136">
        <w:t xml:space="preserve">northeast, </w:t>
      </w:r>
      <w:r w:rsidR="00B82E73" w:rsidRPr="00345136">
        <w:t>in a structurally complex area to the south of the historic West Pit.</w:t>
      </w:r>
    </w:p>
    <w:p w14:paraId="67BCF720" w14:textId="77777777" w:rsidR="00B82E73" w:rsidRPr="00345136" w:rsidRDefault="00B82E73" w:rsidP="00B82E73">
      <w:pPr>
        <w:spacing w:line="240" w:lineRule="auto"/>
        <w:jc w:val="both"/>
      </w:pPr>
    </w:p>
    <w:p w14:paraId="0735854E" w14:textId="0D27EBD9" w:rsidR="00B82E73" w:rsidRPr="00345136" w:rsidRDefault="006264D8" w:rsidP="00B82E73">
      <w:pPr>
        <w:spacing w:line="240" w:lineRule="auto"/>
        <w:jc w:val="both"/>
      </w:pPr>
      <w:r w:rsidRPr="00345136">
        <w:rPr>
          <w:b/>
          <w:bCs/>
        </w:rPr>
        <w:t>25MN</w:t>
      </w:r>
      <w:r w:rsidR="00B82E73" w:rsidRPr="00345136">
        <w:rPr>
          <w:b/>
          <w:bCs/>
        </w:rPr>
        <w:t>-041</w:t>
      </w:r>
      <w:r w:rsidR="00B82E73" w:rsidRPr="00345136">
        <w:t xml:space="preserve">: </w:t>
      </w:r>
      <w:r w:rsidR="00DB35E7" w:rsidRPr="00345136">
        <w:t>d</w:t>
      </w:r>
      <w:r w:rsidR="00B82E73" w:rsidRPr="00345136">
        <w:t xml:space="preserve">rilled </w:t>
      </w:r>
      <w:r w:rsidR="00E20923" w:rsidRPr="00345136">
        <w:t>with</w:t>
      </w:r>
      <w:r w:rsidR="00B82E73" w:rsidRPr="00345136">
        <w:t>in the Gap Zone to test the faulted contact zone between caldera volcanics and older sedimentary units that host the current Inferred Mineral Resource.</w:t>
      </w:r>
    </w:p>
    <w:p w14:paraId="73EE3CF4" w14:textId="77777777" w:rsidR="00B82E73" w:rsidRPr="00345136" w:rsidRDefault="00B82E73" w:rsidP="00B82E73">
      <w:pPr>
        <w:spacing w:line="240" w:lineRule="auto"/>
        <w:jc w:val="both"/>
        <w:rPr>
          <w:b/>
          <w:bCs/>
        </w:rPr>
      </w:pPr>
    </w:p>
    <w:p w14:paraId="3307A77F" w14:textId="641ADCE2" w:rsidR="00B82E73" w:rsidRPr="00345136" w:rsidRDefault="006264D8" w:rsidP="00B82E73">
      <w:pPr>
        <w:spacing w:line="240" w:lineRule="auto"/>
        <w:jc w:val="both"/>
      </w:pPr>
      <w:r w:rsidRPr="00345136">
        <w:rPr>
          <w:b/>
          <w:bCs/>
        </w:rPr>
        <w:t>25MN</w:t>
      </w:r>
      <w:r w:rsidR="00B82E73" w:rsidRPr="00345136">
        <w:rPr>
          <w:b/>
          <w:bCs/>
        </w:rPr>
        <w:t>-042</w:t>
      </w:r>
      <w:r w:rsidR="00B82E73" w:rsidRPr="00345136">
        <w:t xml:space="preserve">: </w:t>
      </w:r>
      <w:r w:rsidR="00DB35E7" w:rsidRPr="00345136">
        <w:t>d</w:t>
      </w:r>
      <w:r w:rsidR="00B82E73" w:rsidRPr="00345136">
        <w:t>rilled as a 50 m step out on drill hole 25</w:t>
      </w:r>
      <w:r w:rsidR="00DB35E7" w:rsidRPr="00345136">
        <w:t>MN</w:t>
      </w:r>
      <w:r w:rsidR="00B82E73" w:rsidRPr="00345136">
        <w:t>-039 to the north northwest, on the Reliance Trend.</w:t>
      </w:r>
    </w:p>
    <w:p w14:paraId="2B47AA40" w14:textId="47B18D80" w:rsidR="00B82E73" w:rsidRPr="00345136" w:rsidRDefault="00B82E73" w:rsidP="00B82E73">
      <w:pPr>
        <w:spacing w:line="240" w:lineRule="auto"/>
        <w:jc w:val="both"/>
      </w:pPr>
    </w:p>
    <w:p w14:paraId="0517B9FB" w14:textId="36168773" w:rsidR="00B82E73" w:rsidRPr="00345136" w:rsidRDefault="006264D8" w:rsidP="00AF4C09">
      <w:pPr>
        <w:spacing w:line="240" w:lineRule="auto"/>
        <w:jc w:val="both"/>
      </w:pPr>
      <w:r w:rsidRPr="00345136">
        <w:rPr>
          <w:b/>
          <w:bCs/>
        </w:rPr>
        <w:t>25MN</w:t>
      </w:r>
      <w:r w:rsidR="00B82E73" w:rsidRPr="00345136">
        <w:rPr>
          <w:b/>
          <w:bCs/>
        </w:rPr>
        <w:t>-043</w:t>
      </w:r>
      <w:r w:rsidR="00B82E73" w:rsidRPr="00345136">
        <w:t xml:space="preserve">: drilled directly north of the historic East pit, to test for a northerly extension of a </w:t>
      </w:r>
      <w:r w:rsidR="00BB20B3" w:rsidRPr="00345136">
        <w:t xml:space="preserve">westerly </w:t>
      </w:r>
      <w:r w:rsidR="00B82E73" w:rsidRPr="00345136">
        <w:t>mineralised fault splay.</w:t>
      </w:r>
    </w:p>
    <w:p w14:paraId="3BED5D34" w14:textId="77777777" w:rsidR="006264D8" w:rsidRPr="00345136" w:rsidRDefault="006264D8" w:rsidP="00AF4C09">
      <w:pPr>
        <w:spacing w:line="240" w:lineRule="auto"/>
        <w:jc w:val="both"/>
      </w:pPr>
    </w:p>
    <w:p w14:paraId="30214F71" w14:textId="7F23A1D6" w:rsidR="006264D8" w:rsidRPr="00345136" w:rsidRDefault="006264D8" w:rsidP="00AF4C09">
      <w:pPr>
        <w:spacing w:line="240" w:lineRule="auto"/>
        <w:jc w:val="both"/>
      </w:pPr>
      <w:r w:rsidRPr="00345136">
        <w:rPr>
          <w:b/>
          <w:bCs/>
        </w:rPr>
        <w:t>25MN-044:</w:t>
      </w:r>
      <w:r w:rsidRPr="00345136">
        <w:t xml:space="preserve"> </w:t>
      </w:r>
      <w:r w:rsidR="00106C4C" w:rsidRPr="00345136">
        <w:t>drilled near Mustang Hill, to the north, to test the faulted contact zone between caldera volcanics and older sedimentary units that host the current Inferred Mineral Resource.</w:t>
      </w:r>
    </w:p>
    <w:p w14:paraId="7ADD5A6B" w14:textId="77777777" w:rsidR="006264D8" w:rsidRPr="00345136" w:rsidRDefault="006264D8" w:rsidP="00AF4C09">
      <w:pPr>
        <w:spacing w:line="240" w:lineRule="auto"/>
        <w:jc w:val="both"/>
      </w:pPr>
    </w:p>
    <w:p w14:paraId="071018E0" w14:textId="122E134B" w:rsidR="006264D8" w:rsidRPr="00345136" w:rsidRDefault="006264D8" w:rsidP="00AF4C09">
      <w:pPr>
        <w:spacing w:line="240" w:lineRule="auto"/>
        <w:jc w:val="both"/>
      </w:pPr>
      <w:r w:rsidRPr="00345136">
        <w:rPr>
          <w:b/>
          <w:bCs/>
        </w:rPr>
        <w:t>25MN-045:</w:t>
      </w:r>
      <w:r w:rsidRPr="00345136">
        <w:t xml:space="preserve"> </w:t>
      </w:r>
      <w:r w:rsidR="00106C4C" w:rsidRPr="00345136">
        <w:t>drilled near Mustang Hill, to the</w:t>
      </w:r>
      <w:r w:rsidR="004C5FC9" w:rsidRPr="00345136">
        <w:t xml:space="preserve"> north-northeast</w:t>
      </w:r>
      <w:r w:rsidR="00106C4C" w:rsidRPr="00345136">
        <w:t xml:space="preserve"> to test the faulted contact zone between caldera volcanics and older sedimentary units that host the current Inferred Mineral Resource.</w:t>
      </w:r>
    </w:p>
    <w:p w14:paraId="79B911F7" w14:textId="77777777" w:rsidR="006264D8" w:rsidRPr="00345136" w:rsidRDefault="006264D8" w:rsidP="00AF4C09">
      <w:pPr>
        <w:spacing w:line="240" w:lineRule="auto"/>
        <w:jc w:val="both"/>
      </w:pPr>
    </w:p>
    <w:p w14:paraId="64A1EFA8" w14:textId="3191C36E" w:rsidR="006264D8" w:rsidRPr="00345136" w:rsidRDefault="006264D8" w:rsidP="006264D8">
      <w:pPr>
        <w:spacing w:line="240" w:lineRule="auto"/>
        <w:jc w:val="both"/>
      </w:pPr>
      <w:r w:rsidRPr="00345136">
        <w:rPr>
          <w:b/>
          <w:bCs/>
        </w:rPr>
        <w:t>26MN-046:</w:t>
      </w:r>
      <w:r w:rsidRPr="00345136">
        <w:t xml:space="preserve"> </w:t>
      </w:r>
      <w:r w:rsidR="00D57DF4" w:rsidRPr="00345136">
        <w:t xml:space="preserve">drilled directly north of the historic East pit, to test for a northerly extension of a westerly mineralised fault splay. A 50 m step-out from </w:t>
      </w:r>
      <w:r w:rsidR="006043A5" w:rsidRPr="00345136">
        <w:t xml:space="preserve">drill </w:t>
      </w:r>
      <w:r w:rsidR="00D57DF4" w:rsidRPr="00345136">
        <w:t>hole</w:t>
      </w:r>
      <w:r w:rsidR="006043A5" w:rsidRPr="00345136">
        <w:t xml:space="preserve"> 25MN-043.</w:t>
      </w:r>
      <w:r w:rsidR="00D57DF4" w:rsidRPr="00345136">
        <w:t xml:space="preserve"> </w:t>
      </w:r>
    </w:p>
    <w:p w14:paraId="4C8388BE" w14:textId="77777777" w:rsidR="006264D8" w:rsidRPr="00345136" w:rsidRDefault="006264D8" w:rsidP="00AF4C09">
      <w:pPr>
        <w:spacing w:line="240" w:lineRule="auto"/>
        <w:jc w:val="both"/>
      </w:pPr>
    </w:p>
    <w:p w14:paraId="71470D5B" w14:textId="3F1B2EE3" w:rsidR="006264D8" w:rsidRPr="00345136" w:rsidRDefault="006264D8" w:rsidP="006264D8">
      <w:pPr>
        <w:spacing w:line="240" w:lineRule="auto"/>
        <w:jc w:val="both"/>
      </w:pPr>
      <w:r w:rsidRPr="00345136">
        <w:rPr>
          <w:b/>
          <w:bCs/>
        </w:rPr>
        <w:t>26MN-047:</w:t>
      </w:r>
      <w:r w:rsidRPr="00345136">
        <w:t xml:space="preserve"> </w:t>
      </w:r>
      <w:r w:rsidR="00AD2984" w:rsidRPr="00345136">
        <w:t>drilled as a 50 m step out on drill hole 25MN-042 to the north northwest, on the Reliance Trend.</w:t>
      </w:r>
    </w:p>
    <w:p w14:paraId="2DDF798E" w14:textId="77777777" w:rsidR="006264D8" w:rsidRPr="00345136" w:rsidRDefault="006264D8" w:rsidP="00AF4C09">
      <w:pPr>
        <w:spacing w:line="240" w:lineRule="auto"/>
        <w:jc w:val="both"/>
      </w:pPr>
    </w:p>
    <w:p w14:paraId="7F3E94C2" w14:textId="3D763C4C" w:rsidR="006264D8" w:rsidRPr="00345136" w:rsidRDefault="006264D8" w:rsidP="006264D8">
      <w:pPr>
        <w:spacing w:line="240" w:lineRule="auto"/>
        <w:jc w:val="both"/>
      </w:pPr>
      <w:r w:rsidRPr="00345136">
        <w:rPr>
          <w:b/>
          <w:bCs/>
        </w:rPr>
        <w:t>26MN-048:</w:t>
      </w:r>
      <w:r w:rsidRPr="00345136">
        <w:t xml:space="preserve"> </w:t>
      </w:r>
      <w:r w:rsidR="00AD2984" w:rsidRPr="00345136">
        <w:t xml:space="preserve">drilled </w:t>
      </w:r>
      <w:r w:rsidR="005074D6" w:rsidRPr="00345136">
        <w:t xml:space="preserve">at </w:t>
      </w:r>
      <w:proofErr w:type="spellStart"/>
      <w:r w:rsidR="005074D6" w:rsidRPr="00345136">
        <w:t>Goldwedge</w:t>
      </w:r>
      <w:proofErr w:type="spellEnd"/>
      <w:r w:rsidR="005074D6" w:rsidRPr="00345136">
        <w:t xml:space="preserve"> to test the faulted contact zone between caldera volcanics and older sedimentary units that host the current Inferred Mineral Resource.</w:t>
      </w:r>
    </w:p>
    <w:p w14:paraId="7B5D267E" w14:textId="77777777" w:rsidR="00B1588C" w:rsidRPr="00345136" w:rsidRDefault="00B1588C" w:rsidP="006264D8">
      <w:pPr>
        <w:spacing w:line="240" w:lineRule="auto"/>
        <w:jc w:val="both"/>
      </w:pPr>
    </w:p>
    <w:p w14:paraId="03CC4AD0" w14:textId="7F54802C" w:rsidR="00F909EB" w:rsidRPr="00345136" w:rsidRDefault="003E7A7D" w:rsidP="00B1588C">
      <w:pPr>
        <w:spacing w:line="240" w:lineRule="auto"/>
        <w:jc w:val="center"/>
        <w:rPr>
          <w:b/>
          <w:bCs/>
        </w:rPr>
      </w:pPr>
      <w:r>
        <w:rPr>
          <w:b/>
          <w:bCs/>
          <w:noProof/>
        </w:rPr>
        <w:drawing>
          <wp:inline distT="0" distB="0" distL="0" distR="0" wp14:anchorId="67C60C0C" wp14:editId="7D82840A">
            <wp:extent cx="6410740" cy="5347735"/>
            <wp:effectExtent l="0" t="0" r="3175" b="0"/>
            <wp:docPr id="84991476" name="Picture 1" descr="A map of a mining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1476" name="Picture 1" descr="A map of a mining area&#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426275" cy="5360694"/>
                    </a:xfrm>
                    <a:prstGeom prst="rect">
                      <a:avLst/>
                    </a:prstGeom>
                  </pic:spPr>
                </pic:pic>
              </a:graphicData>
            </a:graphic>
          </wp:inline>
        </w:drawing>
      </w:r>
    </w:p>
    <w:p w14:paraId="4F5EC143" w14:textId="4267ADE7" w:rsidR="00F909EB" w:rsidRPr="00345136" w:rsidRDefault="00F909EB" w:rsidP="00F909EB">
      <w:pPr>
        <w:spacing w:line="240" w:lineRule="auto"/>
        <w:jc w:val="center"/>
        <w:rPr>
          <w:b/>
          <w:bCs/>
        </w:rPr>
      </w:pPr>
      <w:r w:rsidRPr="00345136">
        <w:rPr>
          <w:b/>
          <w:bCs/>
        </w:rPr>
        <w:t xml:space="preserve">Figure </w:t>
      </w:r>
      <w:r w:rsidR="00307F03">
        <w:rPr>
          <w:b/>
          <w:bCs/>
        </w:rPr>
        <w:t>4</w:t>
      </w:r>
      <w:r w:rsidRPr="00345136">
        <w:rPr>
          <w:b/>
          <w:bCs/>
        </w:rPr>
        <w:t xml:space="preserve">. Location and surface traces of completed holes with assays pending, with modelled structures and </w:t>
      </w:r>
      <w:r w:rsidR="00095BBA">
        <w:rPr>
          <w:b/>
          <w:bCs/>
        </w:rPr>
        <w:t>c</w:t>
      </w:r>
      <w:r w:rsidRPr="00345136">
        <w:rPr>
          <w:b/>
          <w:bCs/>
        </w:rPr>
        <w:t>urrent Inferred Mineral Resource Block Model</w:t>
      </w:r>
      <w:r w:rsidRPr="00345136">
        <w:rPr>
          <w:vertAlign w:val="superscript"/>
        </w:rPr>
        <w:t>2</w:t>
      </w:r>
      <w:r w:rsidRPr="00345136">
        <w:rPr>
          <w:b/>
          <w:bCs/>
        </w:rPr>
        <w:t>.</w:t>
      </w:r>
    </w:p>
    <w:p w14:paraId="4E854D52" w14:textId="77777777" w:rsidR="00095BBA" w:rsidRDefault="00095BBA" w:rsidP="00E7698C">
      <w:pPr>
        <w:rPr>
          <w:b/>
          <w:bCs/>
        </w:rPr>
      </w:pPr>
    </w:p>
    <w:p w14:paraId="02B1AD19" w14:textId="54C2C17A" w:rsidR="00AF4C09" w:rsidRPr="00345136" w:rsidRDefault="00AF4C09" w:rsidP="00E7698C">
      <w:pPr>
        <w:rPr>
          <w:noProof/>
        </w:rPr>
      </w:pPr>
      <w:r w:rsidRPr="00345136">
        <w:rPr>
          <w:b/>
          <w:bCs/>
        </w:rPr>
        <w:t>QA/QC</w:t>
      </w:r>
    </w:p>
    <w:p w14:paraId="754A5359" w14:textId="77777777" w:rsidR="00AF4C09" w:rsidRPr="00345136" w:rsidRDefault="00AF4C09" w:rsidP="00AF4C09">
      <w:pPr>
        <w:spacing w:line="240" w:lineRule="auto"/>
        <w:jc w:val="both"/>
      </w:pPr>
    </w:p>
    <w:p w14:paraId="3F6C712D" w14:textId="4F69505F" w:rsidR="00AF4C09" w:rsidRPr="00345136" w:rsidRDefault="00AF4C09" w:rsidP="00AF4C09">
      <w:pPr>
        <w:keepNext/>
        <w:keepLines/>
        <w:spacing w:line="240" w:lineRule="auto"/>
        <w:ind w:left="-5"/>
        <w:jc w:val="both"/>
      </w:pPr>
      <w:r w:rsidRPr="00345136">
        <w:lastRenderedPageBreak/>
        <w:t xml:space="preserve">HQ sized diamond drill core samples were cut in halves, then bagged and secured with security tags to ensure integrity during transportation to the Reno, NV, Paragon Geochemical facility for preparation. For </w:t>
      </w:r>
      <w:r w:rsidR="000735C2" w:rsidRPr="00345136">
        <w:t>q</w:t>
      </w:r>
      <w:r w:rsidRPr="00345136">
        <w:t xml:space="preserve">uality </w:t>
      </w:r>
      <w:r w:rsidR="000735C2" w:rsidRPr="00345136">
        <w:t>a</w:t>
      </w:r>
      <w:r w:rsidRPr="00345136">
        <w:t>ssurance (“</w:t>
      </w:r>
      <w:r w:rsidRPr="00345136">
        <w:rPr>
          <w:b/>
          <w:bCs/>
        </w:rPr>
        <w:t>QA</w:t>
      </w:r>
      <w:r w:rsidRPr="00345136">
        <w:t xml:space="preserve">”), unmarked coarse blanks, unmarked certified reference materials, and requested laboratory duplicates were inserted into the sampling sequence. QA samples were systematically inserted into each batch of samples, amounting to approximately </w:t>
      </w:r>
      <w:r w:rsidR="007D0101" w:rsidRPr="00345136">
        <w:t>10</w:t>
      </w:r>
      <w:r w:rsidRPr="00345136">
        <w:t xml:space="preserve">% of the run of samples. Samples were analyzed for gold using method PA-AU02 (~500 g), a two-cycle </w:t>
      </w:r>
      <w:proofErr w:type="spellStart"/>
      <w:r w:rsidRPr="00345136">
        <w:t>PhotonAssay</w:t>
      </w:r>
      <w:r w:rsidRPr="00345136">
        <w:rPr>
          <w:vertAlign w:val="superscript"/>
        </w:rPr>
        <w:t>TM</w:t>
      </w:r>
      <w:proofErr w:type="spellEnd"/>
      <w:r w:rsidRPr="00345136">
        <w:t xml:space="preserve"> analysis of crushed material (70% passing 2 mm). All Paragon Geochemical facilities comply with ISO 17025:2017. </w:t>
      </w:r>
    </w:p>
    <w:p w14:paraId="790BE97F" w14:textId="77777777" w:rsidR="001B66F5" w:rsidRPr="00345136" w:rsidRDefault="001B66F5" w:rsidP="00AF4C09">
      <w:pPr>
        <w:keepNext/>
        <w:keepLines/>
        <w:spacing w:line="240" w:lineRule="auto"/>
        <w:ind w:left="-5"/>
        <w:jc w:val="both"/>
      </w:pPr>
    </w:p>
    <w:p w14:paraId="1A600032" w14:textId="77777777" w:rsidR="00FD242A" w:rsidRPr="00A20680" w:rsidRDefault="00FD242A" w:rsidP="00FD242A">
      <w:pPr>
        <w:keepNext/>
        <w:spacing w:line="240" w:lineRule="auto"/>
        <w:jc w:val="both"/>
        <w:rPr>
          <w:b/>
          <w:bCs/>
        </w:rPr>
      </w:pPr>
      <w:r w:rsidRPr="00A20680">
        <w:rPr>
          <w:b/>
          <w:bCs/>
        </w:rPr>
        <w:t>About the Manhattan District</w:t>
      </w:r>
    </w:p>
    <w:p w14:paraId="6FF4421F" w14:textId="77777777" w:rsidR="00FD242A" w:rsidRPr="00102060" w:rsidRDefault="00FD242A" w:rsidP="00FD242A">
      <w:pPr>
        <w:spacing w:before="100" w:beforeAutospacing="1" w:after="100" w:afterAutospacing="1" w:line="240" w:lineRule="auto"/>
        <w:jc w:val="both"/>
        <w:rPr>
          <w:rFonts w:eastAsia="Times New Roman"/>
          <w:lang w:eastAsia="en-US"/>
        </w:rPr>
      </w:pPr>
      <w:r w:rsidRPr="00CE0B74">
        <w:rPr>
          <w:rFonts w:eastAsia="Times New Roman"/>
          <w:lang w:eastAsia="en-US"/>
        </w:rPr>
        <w:t xml:space="preserve">Manhattan, located in the Walker Lane Trend of Nevada, USA, is road accessible and lies approximately 20 kilometers south of the operating </w:t>
      </w:r>
      <w:hyperlink r:id="rId18" w:anchor="americas-roundmountain" w:history="1">
        <w:r w:rsidRPr="00CE0B74">
          <w:rPr>
            <w:rStyle w:val="Hyperlink"/>
            <w:rFonts w:eastAsia="Times New Roman"/>
            <w:lang w:eastAsia="en-US"/>
          </w:rPr>
          <w:t>Round Mountain Gold Mine</w:t>
        </w:r>
      </w:hyperlink>
      <w:r w:rsidRPr="00334221">
        <w:rPr>
          <w:rFonts w:eastAsia="Times New Roman"/>
          <w:lang w:eastAsia="en-US"/>
        </w:rPr>
        <w:t xml:space="preserve">, which has produced more than 15 million ounces of gold. For the first time, the Company has consolidated </w:t>
      </w:r>
      <w:r>
        <w:rPr>
          <w:rFonts w:eastAsia="Times New Roman"/>
          <w:lang w:eastAsia="en-US"/>
        </w:rPr>
        <w:t>Manhattan</w:t>
      </w:r>
      <w:r w:rsidRPr="00334221">
        <w:rPr>
          <w:rFonts w:eastAsia="Times New Roman"/>
          <w:lang w:eastAsia="en-US"/>
        </w:rPr>
        <w:t xml:space="preserve">’s past-producing mines under a single entity that holds valuable permitting and water rights. </w:t>
      </w:r>
      <w:r w:rsidRPr="00102060">
        <w:rPr>
          <w:rFonts w:eastAsia="Times New Roman"/>
          <w:lang w:eastAsia="en-US"/>
        </w:rPr>
        <w:t>Historically, Manhattan has produced approximately 700,000 ounces of gold from high-grade placer and lode operations dating from the late 1890s through to the mid-2000s.¹</w:t>
      </w:r>
      <w:r>
        <w:rPr>
          <w:rFonts w:eastAsia="Times New Roman"/>
          <w:lang w:eastAsia="en-US"/>
        </w:rPr>
        <w:t xml:space="preserve"> </w:t>
      </w:r>
      <w:r w:rsidRPr="00102060">
        <w:rPr>
          <w:rFonts w:eastAsia="Times New Roman"/>
          <w:lang w:eastAsia="en-US"/>
        </w:rPr>
        <w:t xml:space="preserve">The maiden mineral resource estimate </w:t>
      </w:r>
      <w:r>
        <w:rPr>
          <w:rFonts w:eastAsia="Times New Roman"/>
          <w:lang w:eastAsia="en-US"/>
        </w:rPr>
        <w:t>(the “</w:t>
      </w:r>
      <w:r w:rsidRPr="00EB1D51">
        <w:rPr>
          <w:rFonts w:eastAsia="Times New Roman"/>
          <w:b/>
          <w:bCs/>
          <w:lang w:eastAsia="en-US"/>
        </w:rPr>
        <w:t>Maiden MRE</w:t>
      </w:r>
      <w:r>
        <w:rPr>
          <w:rFonts w:eastAsia="Times New Roman"/>
          <w:lang w:eastAsia="en-US"/>
        </w:rPr>
        <w:t xml:space="preserve">”) </w:t>
      </w:r>
      <w:r w:rsidRPr="00102060">
        <w:rPr>
          <w:rFonts w:eastAsia="Times New Roman"/>
          <w:lang w:eastAsia="en-US"/>
        </w:rPr>
        <w:t xml:space="preserve">covering the </w:t>
      </w:r>
      <w:proofErr w:type="spellStart"/>
      <w:r w:rsidRPr="00102060">
        <w:rPr>
          <w:rFonts w:eastAsia="Times New Roman"/>
          <w:lang w:eastAsia="en-US"/>
        </w:rPr>
        <w:t>Goldwedge</w:t>
      </w:r>
      <w:proofErr w:type="spellEnd"/>
      <w:r w:rsidRPr="00102060">
        <w:rPr>
          <w:rFonts w:eastAsia="Times New Roman"/>
          <w:lang w:eastAsia="en-US"/>
        </w:rPr>
        <w:t xml:space="preserve"> and Manhattan Pit areas of </w:t>
      </w:r>
      <w:r>
        <w:rPr>
          <w:rFonts w:eastAsia="Times New Roman"/>
          <w:lang w:eastAsia="en-US"/>
        </w:rPr>
        <w:t>Manhattan</w:t>
      </w:r>
      <w:r w:rsidRPr="00102060">
        <w:rPr>
          <w:rFonts w:eastAsia="Times New Roman"/>
          <w:lang w:eastAsia="en-US"/>
        </w:rPr>
        <w:t xml:space="preserve"> is comprised of 18,343,000 tonnes grading 1.26 g/t gold for a total of 740,000 oz contained gold in the inferred category.²</w:t>
      </w:r>
      <w:r>
        <w:rPr>
          <w:rFonts w:eastAsia="Times New Roman"/>
          <w:lang w:eastAsia="en-US"/>
        </w:rPr>
        <w:t xml:space="preserve"> </w:t>
      </w:r>
    </w:p>
    <w:p w14:paraId="089995CD" w14:textId="77777777" w:rsidR="00FD242A" w:rsidRPr="00102060" w:rsidRDefault="00FD242A" w:rsidP="00FD242A">
      <w:pPr>
        <w:spacing w:before="100" w:beforeAutospacing="1" w:after="100" w:afterAutospacing="1" w:line="240" w:lineRule="auto"/>
        <w:jc w:val="both"/>
        <w:rPr>
          <w:rFonts w:eastAsia="Times New Roman"/>
          <w:lang w:eastAsia="en-US"/>
        </w:rPr>
      </w:pPr>
      <w:r w:rsidRPr="00102060">
        <w:rPr>
          <w:rFonts w:eastAsia="Times New Roman"/>
          <w:lang w:eastAsia="en-US"/>
        </w:rPr>
        <w:t>A historical mineral resource estimate (the “</w:t>
      </w:r>
      <w:r w:rsidRPr="00533575">
        <w:rPr>
          <w:rFonts w:eastAsia="Times New Roman"/>
          <w:b/>
          <w:bCs/>
          <w:lang w:eastAsia="en-US"/>
        </w:rPr>
        <w:t>Historical MRE</w:t>
      </w:r>
      <w:r w:rsidRPr="00102060">
        <w:rPr>
          <w:rFonts w:eastAsia="Times New Roman"/>
          <w:lang w:eastAsia="en-US"/>
        </w:rPr>
        <w:t xml:space="preserve">”) covers the Black Mammoth, April Fool, Hooligan, Keystone, and Jumbo areas of Manhattan and comprises 1,652,325 tonnes grading 5.89 g/t gold for a total of 303,949 oz contained gold.³ The deposit is interpreted as a low-sulfidation, epithermal, gold-rich system situated adjacent to the Tertiary-aged Manhattan caldera in the Southern </w:t>
      </w:r>
      <w:proofErr w:type="spellStart"/>
      <w:r w:rsidRPr="00102060">
        <w:rPr>
          <w:rFonts w:eastAsia="Times New Roman"/>
          <w:lang w:eastAsia="en-US"/>
        </w:rPr>
        <w:t>Toquima</w:t>
      </w:r>
      <w:proofErr w:type="spellEnd"/>
      <w:r w:rsidRPr="00102060">
        <w:rPr>
          <w:rFonts w:eastAsia="Times New Roman"/>
          <w:lang w:eastAsia="en-US"/>
        </w:rPr>
        <w:t xml:space="preserve"> Range of Nevada.</w:t>
      </w:r>
      <w:r>
        <w:rPr>
          <w:rFonts w:eastAsia="Times New Roman"/>
          <w:lang w:eastAsia="en-US"/>
        </w:rPr>
        <w:t xml:space="preserve"> </w:t>
      </w:r>
      <w:r w:rsidRPr="00EB1D51">
        <w:rPr>
          <w:rFonts w:eastAsia="Times New Roman"/>
          <w:lang w:eastAsia="en-US"/>
        </w:rPr>
        <w:t xml:space="preserve">A </w:t>
      </w:r>
      <w:r>
        <w:rPr>
          <w:rFonts w:eastAsia="Times New Roman"/>
          <w:lang w:eastAsia="en-US"/>
        </w:rPr>
        <w:t>“</w:t>
      </w:r>
      <w:r w:rsidRPr="00EB1D51">
        <w:rPr>
          <w:rFonts w:eastAsia="Times New Roman"/>
          <w:lang w:eastAsia="en-US"/>
        </w:rPr>
        <w:t>Qualified Person</w:t>
      </w:r>
      <w:r>
        <w:rPr>
          <w:rFonts w:eastAsia="Times New Roman"/>
          <w:lang w:eastAsia="en-US"/>
        </w:rPr>
        <w:t>”</w:t>
      </w:r>
      <w:r w:rsidRPr="00EB1D51">
        <w:rPr>
          <w:rFonts w:eastAsia="Times New Roman"/>
          <w:lang w:eastAsia="en-US"/>
        </w:rPr>
        <w:t xml:space="preserve"> </w:t>
      </w:r>
      <w:r w:rsidRPr="003B6F35">
        <w:t>as defined</w:t>
      </w:r>
      <w:r>
        <w:t xml:space="preserve"> in</w:t>
      </w:r>
      <w:r w:rsidRPr="003B6F35">
        <w:t xml:space="preserve"> </w:t>
      </w:r>
      <w:r w:rsidRPr="00EB1D51">
        <w:t xml:space="preserve">National Instrument 43-101 - </w:t>
      </w:r>
      <w:r w:rsidRPr="00EB1D51">
        <w:rPr>
          <w:i/>
          <w:iCs/>
        </w:rPr>
        <w:t>Standards of Disclosure for Mineral Projects</w:t>
      </w:r>
      <w:r w:rsidRPr="00EB1D51">
        <w:t xml:space="preserve"> (“</w:t>
      </w:r>
      <w:r w:rsidRPr="00EB1D51">
        <w:rPr>
          <w:b/>
          <w:bCs/>
        </w:rPr>
        <w:t>NI 43-101</w:t>
      </w:r>
      <w:r w:rsidRPr="00EB1D51">
        <w:t>”)</w:t>
      </w:r>
      <w:r>
        <w:t xml:space="preserve"> </w:t>
      </w:r>
      <w:r w:rsidRPr="00EB1D51">
        <w:rPr>
          <w:rFonts w:eastAsia="Times New Roman"/>
          <w:lang w:eastAsia="en-US"/>
        </w:rPr>
        <w:t>has not done sufficient work to make the Historical MRE current, and</w:t>
      </w:r>
      <w:r>
        <w:rPr>
          <w:rFonts w:eastAsia="Times New Roman"/>
          <w:lang w:eastAsia="en-US"/>
        </w:rPr>
        <w:t xml:space="preserve"> </w:t>
      </w:r>
      <w:r w:rsidRPr="00EB1D51">
        <w:rPr>
          <w:rFonts w:eastAsia="Times New Roman"/>
          <w:lang w:eastAsia="en-US"/>
        </w:rPr>
        <w:t>the Company is not treating the Historical MRE as current.</w:t>
      </w:r>
      <w:r>
        <w:rPr>
          <w:rFonts w:eastAsia="Times New Roman"/>
          <w:lang w:eastAsia="en-US"/>
        </w:rPr>
        <w:t xml:space="preserve"> </w:t>
      </w:r>
    </w:p>
    <w:p w14:paraId="07149A97" w14:textId="77777777" w:rsidR="00FD242A" w:rsidRPr="00FF69BF" w:rsidRDefault="00FD242A" w:rsidP="00FD242A">
      <w:pPr>
        <w:spacing w:before="100" w:beforeAutospacing="1" w:after="100" w:afterAutospacing="1" w:line="240" w:lineRule="auto"/>
        <w:jc w:val="both"/>
        <w:rPr>
          <w:rFonts w:eastAsia="Times New Roman"/>
          <w:b/>
          <w:bCs/>
          <w:lang w:eastAsia="en-US"/>
        </w:rPr>
      </w:pPr>
      <w:r w:rsidRPr="00FF69BF">
        <w:rPr>
          <w:rFonts w:eastAsia="Times New Roman"/>
          <w:b/>
          <w:bCs/>
          <w:lang w:eastAsia="en-US"/>
        </w:rPr>
        <w:t>Note</w:t>
      </w:r>
      <w:r>
        <w:rPr>
          <w:rFonts w:eastAsia="Times New Roman"/>
          <w:b/>
          <w:bCs/>
          <w:lang w:eastAsia="en-US"/>
        </w:rPr>
        <w:t>s</w:t>
      </w:r>
    </w:p>
    <w:p w14:paraId="3C7B406A" w14:textId="77777777" w:rsidR="00FD242A" w:rsidRDefault="00FD242A" w:rsidP="00FD242A">
      <w:pPr>
        <w:pStyle w:val="ListParagraph"/>
        <w:numPr>
          <w:ilvl w:val="0"/>
          <w:numId w:val="9"/>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t>Adjacent Properties:</w:t>
      </w:r>
      <w:r w:rsidRPr="00FF69BF">
        <w:rPr>
          <w:rFonts w:eastAsia="Times New Roman"/>
          <w:i/>
          <w:iCs/>
          <w:sz w:val="18"/>
          <w:szCs w:val="18"/>
          <w:lang w:eastAsia="en-US"/>
        </w:rPr>
        <w:t xml:space="preserve"> The Company has no interest in, or rights to, any of the adjacent properties mentioned</w:t>
      </w:r>
      <w:r>
        <w:rPr>
          <w:rFonts w:eastAsia="Times New Roman"/>
          <w:i/>
          <w:iCs/>
          <w:sz w:val="18"/>
          <w:szCs w:val="18"/>
          <w:lang w:eastAsia="en-US"/>
        </w:rPr>
        <w:t>, including the Round Mountain Gold Mine</w:t>
      </w:r>
      <w:r w:rsidRPr="00FF69BF">
        <w:rPr>
          <w:rFonts w:eastAsia="Times New Roman"/>
          <w:i/>
          <w:iCs/>
          <w:sz w:val="18"/>
          <w:szCs w:val="18"/>
          <w:lang w:eastAsia="en-US"/>
        </w:rPr>
        <w:t>, and exploration results on adjacent properties are not necessarily indicative of mineralization on the Company’s properties. Any references to exploration results on adjacent properties are provided for information only and do not imply any certainty of achieving similar results on the Company’s properties.</w:t>
      </w:r>
    </w:p>
    <w:p w14:paraId="5F62E6C4" w14:textId="77777777" w:rsidR="00FD242A" w:rsidRDefault="00FD242A" w:rsidP="00FD242A">
      <w:pPr>
        <w:pStyle w:val="ListParagraph"/>
        <w:spacing w:before="100" w:beforeAutospacing="1" w:after="100" w:afterAutospacing="1" w:line="240" w:lineRule="auto"/>
        <w:ind w:left="360" w:hanging="360"/>
        <w:jc w:val="both"/>
        <w:rPr>
          <w:rFonts w:eastAsia="Times New Roman"/>
          <w:i/>
          <w:iCs/>
          <w:sz w:val="18"/>
          <w:szCs w:val="18"/>
          <w:lang w:eastAsia="en-US"/>
        </w:rPr>
      </w:pPr>
    </w:p>
    <w:p w14:paraId="703BD93F" w14:textId="77777777" w:rsidR="00FD242A" w:rsidRDefault="00FD242A" w:rsidP="00FD242A">
      <w:pPr>
        <w:pStyle w:val="ListParagraph"/>
        <w:numPr>
          <w:ilvl w:val="0"/>
          <w:numId w:val="9"/>
        </w:numPr>
        <w:ind w:left="360"/>
        <w:jc w:val="both"/>
        <w:rPr>
          <w:rFonts w:eastAsia="Times New Roman"/>
          <w:i/>
          <w:iCs/>
          <w:sz w:val="18"/>
          <w:szCs w:val="18"/>
          <w:lang w:eastAsia="en-US"/>
        </w:rPr>
      </w:pPr>
      <w:r w:rsidRPr="00FF69BF">
        <w:rPr>
          <w:rFonts w:eastAsia="Times New Roman"/>
          <w:b/>
          <w:bCs/>
          <w:i/>
          <w:iCs/>
          <w:sz w:val="18"/>
          <w:szCs w:val="18"/>
          <w:lang w:eastAsia="en-US"/>
        </w:rPr>
        <w:t>Historical Data:</w:t>
      </w:r>
      <w:r>
        <w:rPr>
          <w:rFonts w:eastAsia="Times New Roman"/>
          <w:i/>
          <w:iCs/>
          <w:sz w:val="18"/>
          <w:szCs w:val="18"/>
          <w:lang w:eastAsia="en-US"/>
        </w:rPr>
        <w:t xml:space="preserve"> </w:t>
      </w:r>
      <w:r w:rsidRPr="00FF69BF">
        <w:rPr>
          <w:rFonts w:eastAsia="Times New Roman"/>
          <w:i/>
          <w:iCs/>
          <w:sz w:val="18"/>
          <w:szCs w:val="18"/>
          <w:lang w:eastAsia="en-US"/>
        </w:rPr>
        <w:t>This news release includes historical information that has been reviewed by the Company’s qualified person. The Company’s review of the historical records and information reasonably substantiate the validity of the information presented in this presentation. The Company encourages readers to exercise appropriate caution when evaluating these data and/or results.</w:t>
      </w:r>
    </w:p>
    <w:p w14:paraId="430A433E" w14:textId="77777777" w:rsidR="00FD242A" w:rsidRPr="00C14195" w:rsidRDefault="00FD242A" w:rsidP="00FD242A">
      <w:pPr>
        <w:rPr>
          <w:rFonts w:eastAsia="Times New Roman"/>
          <w:i/>
          <w:iCs/>
          <w:sz w:val="18"/>
          <w:szCs w:val="18"/>
          <w:lang w:eastAsia="en-US"/>
        </w:rPr>
      </w:pPr>
    </w:p>
    <w:p w14:paraId="7BC27703" w14:textId="77777777" w:rsidR="00FD242A" w:rsidRPr="00247D79" w:rsidRDefault="00FD242A" w:rsidP="00FD242A">
      <w:pPr>
        <w:pStyle w:val="ListParagraph"/>
        <w:numPr>
          <w:ilvl w:val="0"/>
          <w:numId w:val="9"/>
        </w:numPr>
        <w:ind w:left="360"/>
        <w:jc w:val="both"/>
        <w:rPr>
          <w:rFonts w:eastAsia="Times New Roman"/>
          <w:i/>
          <w:iCs/>
          <w:sz w:val="18"/>
          <w:szCs w:val="18"/>
          <w:lang w:eastAsia="en-US"/>
        </w:rPr>
      </w:pPr>
      <w:r w:rsidRPr="002B2591">
        <w:rPr>
          <w:rFonts w:eastAsia="Times New Roman"/>
          <w:b/>
          <w:bCs/>
          <w:i/>
          <w:iCs/>
          <w:sz w:val="18"/>
          <w:szCs w:val="18"/>
          <w:lang w:eastAsia="en-US"/>
        </w:rPr>
        <w:t>Third-Party Mineral Projects</w:t>
      </w:r>
      <w:r w:rsidRPr="00247D79">
        <w:rPr>
          <w:rFonts w:eastAsia="Times New Roman"/>
          <w:i/>
          <w:iCs/>
          <w:sz w:val="18"/>
          <w:szCs w:val="18"/>
          <w:lang w:eastAsia="en-US"/>
        </w:rPr>
        <w:t xml:space="preserve">: These deposits are cited solely for geological context. The Company cautions that these properties are not </w:t>
      </w:r>
      <w:r>
        <w:rPr>
          <w:rFonts w:eastAsia="Times New Roman"/>
          <w:i/>
          <w:iCs/>
          <w:sz w:val="18"/>
          <w:szCs w:val="18"/>
          <w:lang w:eastAsia="en-US"/>
        </w:rPr>
        <w:t xml:space="preserve">necessarily </w:t>
      </w:r>
      <w:r w:rsidRPr="00247D79">
        <w:rPr>
          <w:rFonts w:eastAsia="Times New Roman"/>
          <w:i/>
          <w:iCs/>
          <w:sz w:val="18"/>
          <w:szCs w:val="18"/>
          <w:lang w:eastAsia="en-US"/>
        </w:rPr>
        <w:t xml:space="preserve">adjacent to, nor does the Company or have any interest in or control over them. Although certain geological features may be similar, there is no assurance that mineralization comparable to these deposits will be discovered on any of the Company’s properties. </w:t>
      </w:r>
      <w:r w:rsidRPr="00C7424D">
        <w:rPr>
          <w:rFonts w:eastAsia="Times New Roman"/>
          <w:i/>
          <w:iCs/>
          <w:sz w:val="18"/>
          <w:szCs w:val="18"/>
          <w:lang w:eastAsia="en-US"/>
        </w:rPr>
        <w:t xml:space="preserve">Information regarding the </w:t>
      </w:r>
      <w:proofErr w:type="gramStart"/>
      <w:r w:rsidRPr="00C7424D">
        <w:rPr>
          <w:rFonts w:eastAsia="Times New Roman"/>
          <w:i/>
          <w:iCs/>
          <w:sz w:val="18"/>
          <w:szCs w:val="18"/>
          <w:lang w:eastAsia="en-US"/>
        </w:rPr>
        <w:t>aforementioned deposits</w:t>
      </w:r>
      <w:proofErr w:type="gramEnd"/>
      <w:r w:rsidRPr="00C7424D">
        <w:rPr>
          <w:rFonts w:eastAsia="Times New Roman"/>
          <w:i/>
          <w:iCs/>
          <w:sz w:val="18"/>
          <w:szCs w:val="18"/>
          <w:lang w:eastAsia="en-US"/>
        </w:rPr>
        <w:t xml:space="preserve"> is taken from publicly available sources and technical reports believed to be </w:t>
      </w:r>
      <w:proofErr w:type="gramStart"/>
      <w:r w:rsidRPr="00C7424D">
        <w:rPr>
          <w:rFonts w:eastAsia="Times New Roman"/>
          <w:i/>
          <w:iCs/>
          <w:sz w:val="18"/>
          <w:szCs w:val="18"/>
          <w:lang w:eastAsia="en-US"/>
        </w:rPr>
        <w:t>reliable, but</w:t>
      </w:r>
      <w:proofErr w:type="gramEnd"/>
      <w:r w:rsidRPr="00C7424D">
        <w:rPr>
          <w:rFonts w:eastAsia="Times New Roman"/>
          <w:i/>
          <w:iCs/>
          <w:sz w:val="18"/>
          <w:szCs w:val="18"/>
          <w:lang w:eastAsia="en-US"/>
        </w:rPr>
        <w:t xml:space="preserve"> has not been independently verified by the Company.</w:t>
      </w:r>
      <w:r>
        <w:rPr>
          <w:rFonts w:eastAsia="Times New Roman"/>
          <w:i/>
          <w:iCs/>
          <w:sz w:val="18"/>
          <w:szCs w:val="18"/>
          <w:lang w:eastAsia="en-US"/>
        </w:rPr>
        <w:t xml:space="preserve"> </w:t>
      </w:r>
      <w:r w:rsidRPr="00FF69BF">
        <w:rPr>
          <w:rFonts w:eastAsia="Times New Roman"/>
          <w:i/>
          <w:iCs/>
          <w:sz w:val="18"/>
          <w:szCs w:val="18"/>
          <w:lang w:eastAsia="en-US"/>
        </w:rPr>
        <w:t>The Company encourages readers to exercise appropriate caution when evaluating these data and/or results.</w:t>
      </w:r>
    </w:p>
    <w:p w14:paraId="6E5CB7F5" w14:textId="77777777" w:rsidR="00FD242A" w:rsidRPr="00EB1D51" w:rsidRDefault="00FD242A" w:rsidP="00FD242A">
      <w:pPr>
        <w:pStyle w:val="ListParagraph"/>
        <w:rPr>
          <w:rFonts w:eastAsia="Times New Roman"/>
          <w:b/>
          <w:bCs/>
          <w:i/>
          <w:iCs/>
          <w:sz w:val="18"/>
          <w:szCs w:val="18"/>
          <w:lang w:eastAsia="en-US"/>
        </w:rPr>
      </w:pPr>
    </w:p>
    <w:p w14:paraId="760A143B" w14:textId="77777777" w:rsidR="00FD242A" w:rsidRPr="00EB1D51" w:rsidRDefault="00FD242A" w:rsidP="00FD242A">
      <w:pPr>
        <w:pStyle w:val="ListParagraph"/>
        <w:numPr>
          <w:ilvl w:val="0"/>
          <w:numId w:val="9"/>
        </w:numPr>
        <w:spacing w:before="100" w:beforeAutospacing="1" w:after="100" w:afterAutospacing="1" w:line="240" w:lineRule="auto"/>
        <w:ind w:left="360"/>
        <w:jc w:val="both"/>
        <w:rPr>
          <w:rFonts w:eastAsia="Times New Roman"/>
          <w:i/>
          <w:iCs/>
          <w:sz w:val="18"/>
          <w:szCs w:val="18"/>
          <w:lang w:eastAsia="en-US"/>
        </w:rPr>
      </w:pPr>
      <w:r w:rsidRPr="00EB1D51">
        <w:rPr>
          <w:rFonts w:eastAsia="Times New Roman"/>
          <w:b/>
          <w:bCs/>
          <w:i/>
          <w:iCs/>
          <w:sz w:val="18"/>
          <w:szCs w:val="18"/>
          <w:lang w:eastAsia="en-US"/>
        </w:rPr>
        <w:t>Mineral Resource Estimate (MRE):</w:t>
      </w:r>
      <w:r w:rsidRPr="006B1CCE">
        <w:rPr>
          <w:rFonts w:eastAsia="Times New Roman"/>
          <w:i/>
          <w:iCs/>
          <w:sz w:val="18"/>
          <w:szCs w:val="18"/>
          <w:lang w:eastAsia="en-US"/>
        </w:rPr>
        <w:t xml:space="preserve"> All scientific and technical information relating to </w:t>
      </w:r>
      <w:r>
        <w:rPr>
          <w:rFonts w:eastAsia="Times New Roman"/>
          <w:i/>
          <w:iCs/>
          <w:sz w:val="18"/>
          <w:szCs w:val="18"/>
          <w:lang w:eastAsia="en-US"/>
        </w:rPr>
        <w:t>Manhattan</w:t>
      </w:r>
      <w:r w:rsidRPr="006B1CCE">
        <w:rPr>
          <w:rFonts w:eastAsia="Times New Roman"/>
          <w:i/>
          <w:iCs/>
          <w:sz w:val="18"/>
          <w:szCs w:val="18"/>
          <w:lang w:eastAsia="en-US"/>
        </w:rPr>
        <w:t xml:space="preserve"> pertaining to </w:t>
      </w:r>
      <w:r>
        <w:rPr>
          <w:rFonts w:eastAsia="Times New Roman"/>
          <w:i/>
          <w:iCs/>
          <w:sz w:val="18"/>
          <w:szCs w:val="18"/>
          <w:lang w:eastAsia="en-US"/>
        </w:rPr>
        <w:t>Maiden MRE</w:t>
      </w:r>
      <w:r w:rsidRPr="006B1CCE">
        <w:rPr>
          <w:rFonts w:eastAsia="Times New Roman"/>
          <w:i/>
          <w:iCs/>
          <w:sz w:val="18"/>
          <w:szCs w:val="18"/>
          <w:lang w:eastAsia="en-US"/>
        </w:rPr>
        <w:t xml:space="preserve"> contained in this news release is derived from the Technical Report dated </w:t>
      </w:r>
      <w:r>
        <w:rPr>
          <w:rFonts w:eastAsia="Times New Roman"/>
          <w:i/>
          <w:iCs/>
          <w:sz w:val="18"/>
          <w:szCs w:val="18"/>
          <w:lang w:eastAsia="en-US"/>
        </w:rPr>
        <w:t>October 23, 2025</w:t>
      </w:r>
      <w:r w:rsidRPr="006B1CCE">
        <w:rPr>
          <w:rFonts w:eastAsia="Times New Roman"/>
          <w:i/>
          <w:iCs/>
          <w:sz w:val="18"/>
          <w:szCs w:val="18"/>
          <w:lang w:eastAsia="en-US"/>
        </w:rPr>
        <w:t xml:space="preserve"> (with an effective date of </w:t>
      </w:r>
      <w:r>
        <w:rPr>
          <w:rFonts w:eastAsia="Times New Roman"/>
          <w:i/>
          <w:iCs/>
          <w:sz w:val="18"/>
          <w:szCs w:val="18"/>
          <w:lang w:eastAsia="en-US"/>
        </w:rPr>
        <w:t>June 4</w:t>
      </w:r>
      <w:r w:rsidRPr="006B1CCE">
        <w:rPr>
          <w:rFonts w:eastAsia="Times New Roman"/>
          <w:i/>
          <w:iCs/>
          <w:sz w:val="18"/>
          <w:szCs w:val="18"/>
          <w:lang w:eastAsia="en-US"/>
        </w:rPr>
        <w:t>, 2025) titled “</w:t>
      </w:r>
      <w:r>
        <w:rPr>
          <w:rFonts w:eastAsia="Times New Roman"/>
          <w:i/>
          <w:iCs/>
          <w:sz w:val="18"/>
          <w:szCs w:val="18"/>
          <w:lang w:eastAsia="en-US"/>
        </w:rPr>
        <w:t>Mineral Resource Estimate and NI 43-101 Technical Report</w:t>
      </w:r>
      <w:r w:rsidRPr="006B1CCE">
        <w:rPr>
          <w:rFonts w:eastAsia="Times New Roman"/>
          <w:i/>
          <w:iCs/>
          <w:sz w:val="18"/>
          <w:szCs w:val="18"/>
          <w:lang w:eastAsia="en-US"/>
        </w:rPr>
        <w:t>” (the “</w:t>
      </w:r>
      <w:r w:rsidRPr="00EB1D51">
        <w:rPr>
          <w:rFonts w:eastAsia="Times New Roman"/>
          <w:b/>
          <w:bCs/>
          <w:i/>
          <w:iCs/>
          <w:sz w:val="18"/>
          <w:szCs w:val="18"/>
          <w:lang w:eastAsia="en-US"/>
        </w:rPr>
        <w:t>Technical Report</w:t>
      </w:r>
      <w:r w:rsidRPr="006B1CCE">
        <w:rPr>
          <w:rFonts w:eastAsia="Times New Roman"/>
          <w:i/>
          <w:iCs/>
          <w:sz w:val="18"/>
          <w:szCs w:val="18"/>
          <w:lang w:eastAsia="en-US"/>
        </w:rPr>
        <w:t xml:space="preserve">”) prepared by </w:t>
      </w:r>
      <w:r w:rsidRPr="00EB1D51">
        <w:rPr>
          <w:rFonts w:eastAsia="Times New Roman"/>
          <w:i/>
          <w:iCs/>
          <w:sz w:val="18"/>
          <w:szCs w:val="18"/>
          <w:lang w:eastAsia="en-US"/>
        </w:rPr>
        <w:t xml:space="preserve">Matthew R. </w:t>
      </w:r>
      <w:proofErr w:type="spellStart"/>
      <w:r w:rsidRPr="00EB1D51">
        <w:rPr>
          <w:rFonts w:eastAsia="Times New Roman"/>
          <w:i/>
          <w:iCs/>
          <w:sz w:val="18"/>
          <w:szCs w:val="18"/>
          <w:lang w:eastAsia="en-US"/>
        </w:rPr>
        <w:t>Dumala</w:t>
      </w:r>
      <w:proofErr w:type="spellEnd"/>
      <w:r w:rsidRPr="00EB1D51">
        <w:rPr>
          <w:rFonts w:eastAsia="Times New Roman"/>
          <w:i/>
          <w:iCs/>
          <w:sz w:val="18"/>
          <w:szCs w:val="18"/>
          <w:lang w:eastAsia="en-US"/>
        </w:rPr>
        <w:t xml:space="preserve">, </w:t>
      </w:r>
      <w:proofErr w:type="spellStart"/>
      <w:r w:rsidRPr="00EB1D51">
        <w:rPr>
          <w:rFonts w:eastAsia="Times New Roman"/>
          <w:i/>
          <w:iCs/>
          <w:sz w:val="18"/>
          <w:szCs w:val="18"/>
          <w:lang w:eastAsia="en-US"/>
        </w:rPr>
        <w:t>P.Eng</w:t>
      </w:r>
      <w:proofErr w:type="spellEnd"/>
      <w:r w:rsidRPr="00EB1D51">
        <w:rPr>
          <w:rFonts w:eastAsia="Times New Roman"/>
          <w:i/>
          <w:iCs/>
          <w:sz w:val="18"/>
          <w:szCs w:val="18"/>
          <w:lang w:eastAsia="en-US"/>
        </w:rPr>
        <w:t xml:space="preserve"> (BC) of Archer Cathro Geological (US) Ltd., Patrick Loury, M.Sc., CPG (AIPG) of Daniel Kunz &amp; Associates, Annaliese Miller, LG (WA) of Geosyntec Consultants, Inc. and Art Ibrado, PhD, PE (AZ) of Fort Lowell Consulting PPLC</w:t>
      </w:r>
      <w:r w:rsidRPr="006B1CCE">
        <w:rPr>
          <w:rFonts w:eastAsia="Times New Roman"/>
          <w:i/>
          <w:iCs/>
          <w:sz w:val="18"/>
          <w:szCs w:val="18"/>
          <w:lang w:eastAsia="en-US"/>
        </w:rPr>
        <w:t xml:space="preserve">. The information contained herein in respect of the </w:t>
      </w:r>
      <w:r>
        <w:rPr>
          <w:rFonts w:eastAsia="Times New Roman"/>
          <w:i/>
          <w:iCs/>
          <w:sz w:val="18"/>
          <w:szCs w:val="18"/>
          <w:lang w:eastAsia="en-US"/>
        </w:rPr>
        <w:t>Maiden</w:t>
      </w:r>
      <w:r w:rsidRPr="006B1CCE">
        <w:rPr>
          <w:rFonts w:eastAsia="Times New Roman"/>
          <w:i/>
          <w:iCs/>
          <w:sz w:val="18"/>
          <w:szCs w:val="18"/>
          <w:lang w:eastAsia="en-US"/>
        </w:rPr>
        <w:t xml:space="preserve"> MRE is subject to all of the assumptions, qualifications and procedures set out in the Technical Report and reference should be made to the full text of the Technical Report, a copy of which has been filed with the applicable securities regulators and is available under </w:t>
      </w:r>
      <w:r>
        <w:rPr>
          <w:rFonts w:eastAsia="Times New Roman"/>
          <w:i/>
          <w:iCs/>
          <w:sz w:val="18"/>
          <w:szCs w:val="18"/>
          <w:lang w:eastAsia="en-US"/>
        </w:rPr>
        <w:t>the Company’s</w:t>
      </w:r>
      <w:r w:rsidRPr="006B1CCE">
        <w:rPr>
          <w:rFonts w:eastAsia="Times New Roman"/>
          <w:i/>
          <w:iCs/>
          <w:sz w:val="18"/>
          <w:szCs w:val="18"/>
          <w:lang w:eastAsia="en-US"/>
        </w:rPr>
        <w:t xml:space="preserve"> profile on www.sedarplus.ca.</w:t>
      </w:r>
    </w:p>
    <w:p w14:paraId="7BB720BA" w14:textId="77777777" w:rsidR="00FD242A" w:rsidRPr="00EB1D51" w:rsidRDefault="00FD242A" w:rsidP="00FD242A">
      <w:pPr>
        <w:pStyle w:val="ListParagraph"/>
        <w:rPr>
          <w:rFonts w:eastAsia="Times New Roman"/>
          <w:b/>
          <w:bCs/>
          <w:i/>
          <w:iCs/>
          <w:sz w:val="18"/>
          <w:szCs w:val="18"/>
          <w:lang w:eastAsia="en-US"/>
        </w:rPr>
      </w:pPr>
    </w:p>
    <w:p w14:paraId="3B6F852B" w14:textId="77777777" w:rsidR="00FD242A" w:rsidRDefault="00FD242A" w:rsidP="00FD242A">
      <w:pPr>
        <w:pStyle w:val="ListParagraph"/>
        <w:numPr>
          <w:ilvl w:val="0"/>
          <w:numId w:val="9"/>
        </w:numPr>
        <w:spacing w:before="100" w:beforeAutospacing="1" w:after="100" w:afterAutospacing="1" w:line="240" w:lineRule="auto"/>
        <w:ind w:left="360"/>
        <w:jc w:val="both"/>
        <w:rPr>
          <w:rFonts w:eastAsia="Times New Roman"/>
          <w:i/>
          <w:iCs/>
          <w:sz w:val="18"/>
          <w:szCs w:val="18"/>
          <w:lang w:eastAsia="en-US"/>
        </w:rPr>
      </w:pPr>
      <w:r w:rsidRPr="00FF69BF">
        <w:rPr>
          <w:rFonts w:eastAsia="Times New Roman"/>
          <w:b/>
          <w:bCs/>
          <w:i/>
          <w:iCs/>
          <w:sz w:val="18"/>
          <w:szCs w:val="18"/>
          <w:lang w:eastAsia="en-US"/>
        </w:rPr>
        <w:t xml:space="preserve">Historical MRE: </w:t>
      </w:r>
      <w:r w:rsidRPr="00045F75">
        <w:rPr>
          <w:rFonts w:eastAsia="Times New Roman"/>
          <w:i/>
          <w:iCs/>
          <w:sz w:val="18"/>
          <w:szCs w:val="18"/>
          <w:lang w:eastAsia="en-US"/>
        </w:rPr>
        <w:t>A Qualified Person</w:t>
      </w:r>
      <w:r>
        <w:rPr>
          <w:rFonts w:eastAsia="Times New Roman"/>
          <w:i/>
          <w:iCs/>
          <w:sz w:val="18"/>
          <w:szCs w:val="18"/>
          <w:lang w:eastAsia="en-US"/>
        </w:rPr>
        <w:t xml:space="preserve"> </w:t>
      </w:r>
      <w:r w:rsidRPr="00045F75">
        <w:rPr>
          <w:rFonts w:eastAsia="Times New Roman"/>
          <w:i/>
          <w:iCs/>
          <w:sz w:val="18"/>
          <w:szCs w:val="18"/>
          <w:lang w:eastAsia="en-US"/>
        </w:rPr>
        <w:t xml:space="preserve">has not done sufficient work to make the Historical MRE current, and the Company is not treating the Historical MRE as current. </w:t>
      </w:r>
    </w:p>
    <w:p w14:paraId="4054975E" w14:textId="77777777" w:rsidR="00FD242A" w:rsidRPr="00B3230B" w:rsidRDefault="00FD242A" w:rsidP="00FD242A">
      <w:pPr>
        <w:pStyle w:val="ListParagraph"/>
        <w:rPr>
          <w:rFonts w:eastAsia="Times New Roman"/>
          <w:i/>
          <w:iCs/>
          <w:sz w:val="18"/>
          <w:szCs w:val="18"/>
          <w:lang w:eastAsia="en-US"/>
        </w:rPr>
      </w:pPr>
    </w:p>
    <w:p w14:paraId="083FB556" w14:textId="77777777" w:rsidR="00FD242A" w:rsidRDefault="00FD242A" w:rsidP="00FD242A">
      <w:pPr>
        <w:pStyle w:val="ListParagraph"/>
        <w:spacing w:before="100" w:beforeAutospacing="1" w:after="100" w:afterAutospacing="1" w:line="240" w:lineRule="auto"/>
        <w:ind w:left="360"/>
        <w:jc w:val="both"/>
        <w:rPr>
          <w:rFonts w:eastAsia="Times New Roman"/>
          <w:i/>
          <w:iCs/>
          <w:sz w:val="18"/>
          <w:szCs w:val="18"/>
          <w:lang w:eastAsia="en-US"/>
        </w:rPr>
      </w:pPr>
      <w:r w:rsidRPr="00FF69BF">
        <w:rPr>
          <w:rFonts w:eastAsia="Times New Roman"/>
          <w:i/>
          <w:iCs/>
          <w:sz w:val="18"/>
          <w:szCs w:val="18"/>
          <w:lang w:eastAsia="en-US"/>
        </w:rPr>
        <w:t xml:space="preserve">The Company considers </w:t>
      </w:r>
      <w:r>
        <w:rPr>
          <w:rFonts w:eastAsia="Times New Roman"/>
          <w:i/>
          <w:iCs/>
          <w:sz w:val="18"/>
          <w:szCs w:val="18"/>
          <w:lang w:eastAsia="en-US"/>
        </w:rPr>
        <w:t xml:space="preserve">the Historical MRE </w:t>
      </w:r>
      <w:r w:rsidRPr="00FF69BF">
        <w:rPr>
          <w:rFonts w:eastAsia="Times New Roman"/>
          <w:i/>
          <w:iCs/>
          <w:sz w:val="18"/>
          <w:szCs w:val="18"/>
          <w:lang w:eastAsia="en-US"/>
        </w:rPr>
        <w:t xml:space="preserve">relevant as it demonstrates the presence of significant gold mineralization across multiple zones within </w:t>
      </w:r>
      <w:r>
        <w:rPr>
          <w:rFonts w:eastAsia="Times New Roman"/>
          <w:i/>
          <w:iCs/>
          <w:sz w:val="18"/>
          <w:szCs w:val="18"/>
          <w:lang w:eastAsia="en-US"/>
        </w:rPr>
        <w:t>Manhattan</w:t>
      </w:r>
      <w:r w:rsidRPr="00FF69BF">
        <w:rPr>
          <w:rFonts w:eastAsia="Times New Roman"/>
          <w:i/>
          <w:iCs/>
          <w:sz w:val="18"/>
          <w:szCs w:val="18"/>
          <w:lang w:eastAsia="en-US"/>
        </w:rPr>
        <w:t xml:space="preserve">; however, its reliability is uncertain because it was prepared prior to the adoption of </w:t>
      </w:r>
      <w:r>
        <w:rPr>
          <w:rFonts w:eastAsia="Times New Roman"/>
          <w:i/>
          <w:iCs/>
          <w:sz w:val="18"/>
          <w:szCs w:val="18"/>
          <w:lang w:eastAsia="en-US"/>
        </w:rPr>
        <w:t xml:space="preserve">the </w:t>
      </w:r>
      <w:r w:rsidRPr="00FF69BF">
        <w:rPr>
          <w:rFonts w:eastAsia="Times New Roman"/>
          <w:i/>
          <w:iCs/>
          <w:sz w:val="18"/>
          <w:szCs w:val="18"/>
          <w:lang w:eastAsia="en-US"/>
        </w:rPr>
        <w:t xml:space="preserve">current CIM Definition Standards and </w:t>
      </w:r>
      <w:r>
        <w:rPr>
          <w:rFonts w:eastAsia="Times New Roman"/>
          <w:i/>
          <w:iCs/>
          <w:sz w:val="18"/>
          <w:szCs w:val="18"/>
          <w:lang w:eastAsia="en-US"/>
        </w:rPr>
        <w:t>current</w:t>
      </w:r>
      <w:r w:rsidRPr="00FF69BF">
        <w:rPr>
          <w:rFonts w:eastAsia="Times New Roman"/>
          <w:i/>
          <w:iCs/>
          <w:sz w:val="18"/>
          <w:szCs w:val="18"/>
          <w:lang w:eastAsia="en-US"/>
        </w:rPr>
        <w:t xml:space="preserve"> QA/QC practices. The </w:t>
      </w:r>
      <w:r>
        <w:rPr>
          <w:rFonts w:eastAsia="Times New Roman"/>
          <w:i/>
          <w:iCs/>
          <w:sz w:val="18"/>
          <w:szCs w:val="18"/>
          <w:lang w:eastAsia="en-US"/>
        </w:rPr>
        <w:t>Historical MRE</w:t>
      </w:r>
      <w:r w:rsidRPr="00FF69BF">
        <w:rPr>
          <w:rFonts w:eastAsia="Times New Roman"/>
          <w:i/>
          <w:iCs/>
          <w:sz w:val="18"/>
          <w:szCs w:val="18"/>
          <w:lang w:eastAsia="en-US"/>
        </w:rPr>
        <w:t xml:space="preserve"> provides limited disclosure of assumptions, parameters, estimation </w:t>
      </w:r>
      <w:r w:rsidRPr="00FF69BF">
        <w:rPr>
          <w:rFonts w:eastAsia="Times New Roman"/>
          <w:i/>
          <w:iCs/>
          <w:sz w:val="18"/>
          <w:szCs w:val="18"/>
          <w:lang w:eastAsia="en-US"/>
        </w:rPr>
        <w:lastRenderedPageBreak/>
        <w:t xml:space="preserve">methods, cutoff grades, and QA/QC protocols, and therefore these cannot be fully verified by the Company. The categories used in the historical estimate predate, and are not directly comparable to, current CIM Definition Standards, and the Company is not treating the </w:t>
      </w:r>
      <w:r>
        <w:rPr>
          <w:rFonts w:eastAsia="Times New Roman"/>
          <w:i/>
          <w:iCs/>
          <w:sz w:val="18"/>
          <w:szCs w:val="18"/>
          <w:lang w:eastAsia="en-US"/>
        </w:rPr>
        <w:t>Historical MRE</w:t>
      </w:r>
      <w:r w:rsidRPr="00FF69BF">
        <w:rPr>
          <w:rFonts w:eastAsia="Times New Roman"/>
          <w:i/>
          <w:iCs/>
          <w:sz w:val="18"/>
          <w:szCs w:val="18"/>
          <w:lang w:eastAsia="en-US"/>
        </w:rPr>
        <w:t xml:space="preserve"> as a current </w:t>
      </w:r>
      <w:r>
        <w:rPr>
          <w:rFonts w:eastAsia="Times New Roman"/>
          <w:i/>
          <w:iCs/>
          <w:sz w:val="18"/>
          <w:szCs w:val="18"/>
          <w:lang w:eastAsia="en-US"/>
        </w:rPr>
        <w:t>M</w:t>
      </w:r>
      <w:r w:rsidRPr="00FF69BF">
        <w:rPr>
          <w:rFonts w:eastAsia="Times New Roman"/>
          <w:i/>
          <w:iCs/>
          <w:sz w:val="18"/>
          <w:szCs w:val="18"/>
          <w:lang w:eastAsia="en-US"/>
        </w:rPr>
        <w:t xml:space="preserve">ineral </w:t>
      </w:r>
      <w:r>
        <w:rPr>
          <w:rFonts w:eastAsia="Times New Roman"/>
          <w:i/>
          <w:iCs/>
          <w:sz w:val="18"/>
          <w:szCs w:val="18"/>
          <w:lang w:eastAsia="en-US"/>
        </w:rPr>
        <w:t>R</w:t>
      </w:r>
      <w:r w:rsidRPr="00FF69BF">
        <w:rPr>
          <w:rFonts w:eastAsia="Times New Roman"/>
          <w:i/>
          <w:iCs/>
          <w:sz w:val="18"/>
          <w:szCs w:val="18"/>
          <w:lang w:eastAsia="en-US"/>
        </w:rPr>
        <w:t>esource</w:t>
      </w:r>
      <w:r>
        <w:rPr>
          <w:rFonts w:eastAsia="Times New Roman"/>
          <w:i/>
          <w:iCs/>
          <w:sz w:val="18"/>
          <w:szCs w:val="18"/>
          <w:lang w:eastAsia="en-US"/>
        </w:rPr>
        <w:t xml:space="preserve"> Estimate</w:t>
      </w:r>
      <w:r w:rsidRPr="00FF69BF">
        <w:rPr>
          <w:rFonts w:eastAsia="Times New Roman"/>
          <w:i/>
          <w:iCs/>
          <w:sz w:val="18"/>
          <w:szCs w:val="18"/>
          <w:lang w:eastAsia="en-US"/>
        </w:rPr>
        <w:t>.</w:t>
      </w:r>
      <w:r>
        <w:rPr>
          <w:rFonts w:eastAsia="Times New Roman"/>
          <w:i/>
          <w:iCs/>
          <w:sz w:val="18"/>
          <w:szCs w:val="18"/>
          <w:lang w:eastAsia="en-US"/>
        </w:rPr>
        <w:t xml:space="preserve"> </w:t>
      </w:r>
      <w:r w:rsidRPr="00C14195">
        <w:rPr>
          <w:rFonts w:eastAsia="Times New Roman"/>
          <w:i/>
          <w:iCs/>
          <w:sz w:val="18"/>
          <w:szCs w:val="18"/>
          <w:lang w:eastAsia="en-US"/>
        </w:rPr>
        <w:t xml:space="preserve">To upgrade and verify the Historical MRE </w:t>
      </w:r>
      <w:proofErr w:type="gramStart"/>
      <w:r>
        <w:rPr>
          <w:rFonts w:eastAsia="Times New Roman"/>
          <w:i/>
          <w:iCs/>
          <w:sz w:val="18"/>
          <w:szCs w:val="18"/>
          <w:lang w:eastAsia="en-US"/>
        </w:rPr>
        <w:t xml:space="preserve">in order </w:t>
      </w:r>
      <w:r w:rsidRPr="00C14195">
        <w:rPr>
          <w:rFonts w:eastAsia="Times New Roman"/>
          <w:i/>
          <w:iCs/>
          <w:sz w:val="18"/>
          <w:szCs w:val="18"/>
          <w:lang w:eastAsia="en-US"/>
        </w:rPr>
        <w:t>to</w:t>
      </w:r>
      <w:proofErr w:type="gramEnd"/>
      <w:r w:rsidRPr="00C14195">
        <w:rPr>
          <w:rFonts w:eastAsia="Times New Roman"/>
          <w:i/>
          <w:iCs/>
          <w:sz w:val="18"/>
          <w:szCs w:val="18"/>
          <w:lang w:eastAsia="en-US"/>
        </w:rPr>
        <w:t xml:space="preserve"> </w:t>
      </w:r>
      <w:r>
        <w:rPr>
          <w:rFonts w:eastAsia="Times New Roman"/>
          <w:i/>
          <w:iCs/>
          <w:sz w:val="18"/>
          <w:szCs w:val="18"/>
          <w:lang w:eastAsia="en-US"/>
        </w:rPr>
        <w:t xml:space="preserve">make it </w:t>
      </w:r>
      <w:r w:rsidRPr="00C14195">
        <w:rPr>
          <w:rFonts w:eastAsia="Times New Roman"/>
          <w:i/>
          <w:iCs/>
          <w:sz w:val="18"/>
          <w:szCs w:val="18"/>
          <w:lang w:eastAsia="en-US"/>
        </w:rPr>
        <w:t xml:space="preserve">a current </w:t>
      </w:r>
      <w:r>
        <w:rPr>
          <w:rFonts w:eastAsia="Times New Roman"/>
          <w:i/>
          <w:iCs/>
          <w:sz w:val="18"/>
          <w:szCs w:val="18"/>
          <w:lang w:eastAsia="en-US"/>
        </w:rPr>
        <w:t>M</w:t>
      </w:r>
      <w:r w:rsidRPr="00C14195">
        <w:rPr>
          <w:rFonts w:eastAsia="Times New Roman"/>
          <w:i/>
          <w:iCs/>
          <w:sz w:val="18"/>
          <w:szCs w:val="18"/>
          <w:lang w:eastAsia="en-US"/>
        </w:rPr>
        <w:t xml:space="preserve">ineral </w:t>
      </w:r>
      <w:r>
        <w:rPr>
          <w:rFonts w:eastAsia="Times New Roman"/>
          <w:i/>
          <w:iCs/>
          <w:sz w:val="18"/>
          <w:szCs w:val="18"/>
          <w:lang w:eastAsia="en-US"/>
        </w:rPr>
        <w:t>R</w:t>
      </w:r>
      <w:r w:rsidRPr="00C14195">
        <w:rPr>
          <w:rFonts w:eastAsia="Times New Roman"/>
          <w:i/>
          <w:iCs/>
          <w:sz w:val="18"/>
          <w:szCs w:val="18"/>
          <w:lang w:eastAsia="en-US"/>
        </w:rPr>
        <w:t>esource</w:t>
      </w:r>
      <w:r>
        <w:rPr>
          <w:rFonts w:eastAsia="Times New Roman"/>
          <w:i/>
          <w:iCs/>
          <w:sz w:val="18"/>
          <w:szCs w:val="18"/>
          <w:lang w:eastAsia="en-US"/>
        </w:rPr>
        <w:t xml:space="preserve"> Estimate</w:t>
      </w:r>
      <w:r w:rsidRPr="00C14195">
        <w:rPr>
          <w:rFonts w:eastAsia="Times New Roman"/>
          <w:i/>
          <w:iCs/>
          <w:sz w:val="18"/>
          <w:szCs w:val="18"/>
          <w:lang w:eastAsia="en-US"/>
        </w:rPr>
        <w:t>, the Company would be required to undertake confirmatory drilling, modern QA/QC sampling, validation and digitization of historical datasets and updated geological modeling followed by</w:t>
      </w:r>
      <w:r>
        <w:rPr>
          <w:rFonts w:eastAsia="Times New Roman"/>
          <w:i/>
          <w:iCs/>
          <w:sz w:val="18"/>
          <w:szCs w:val="18"/>
          <w:lang w:eastAsia="en-US"/>
        </w:rPr>
        <w:t xml:space="preserve"> </w:t>
      </w:r>
      <w:proofErr w:type="gramStart"/>
      <w:r>
        <w:rPr>
          <w:rFonts w:eastAsia="Times New Roman"/>
          <w:i/>
          <w:iCs/>
          <w:sz w:val="18"/>
          <w:szCs w:val="18"/>
          <w:lang w:eastAsia="en-US"/>
        </w:rPr>
        <w:t xml:space="preserve">the </w:t>
      </w:r>
      <w:r w:rsidRPr="00C14195">
        <w:rPr>
          <w:rFonts w:eastAsia="Times New Roman"/>
          <w:i/>
          <w:iCs/>
          <w:sz w:val="18"/>
          <w:szCs w:val="18"/>
          <w:lang w:eastAsia="en-US"/>
        </w:rPr>
        <w:t xml:space="preserve"> preparation</w:t>
      </w:r>
      <w:proofErr w:type="gramEnd"/>
      <w:r w:rsidRPr="00C14195">
        <w:rPr>
          <w:rFonts w:eastAsia="Times New Roman"/>
          <w:i/>
          <w:iCs/>
          <w:sz w:val="18"/>
          <w:szCs w:val="18"/>
          <w:lang w:eastAsia="en-US"/>
        </w:rPr>
        <w:t xml:space="preserve"> of a new </w:t>
      </w:r>
      <w:r>
        <w:rPr>
          <w:rFonts w:eastAsia="Times New Roman"/>
          <w:i/>
          <w:iCs/>
          <w:sz w:val="18"/>
          <w:szCs w:val="18"/>
          <w:lang w:eastAsia="en-US"/>
        </w:rPr>
        <w:t>Mineral Re</w:t>
      </w:r>
      <w:r w:rsidRPr="00C14195">
        <w:rPr>
          <w:rFonts w:eastAsia="Times New Roman"/>
          <w:i/>
          <w:iCs/>
          <w:sz w:val="18"/>
          <w:szCs w:val="18"/>
          <w:lang w:eastAsia="en-US"/>
        </w:rPr>
        <w:t xml:space="preserve">source </w:t>
      </w:r>
      <w:r>
        <w:rPr>
          <w:rFonts w:eastAsia="Times New Roman"/>
          <w:i/>
          <w:iCs/>
          <w:sz w:val="18"/>
          <w:szCs w:val="18"/>
          <w:lang w:eastAsia="en-US"/>
        </w:rPr>
        <w:t>E</w:t>
      </w:r>
      <w:r w:rsidRPr="00C14195">
        <w:rPr>
          <w:rFonts w:eastAsia="Times New Roman"/>
          <w:i/>
          <w:iCs/>
          <w:sz w:val="18"/>
          <w:szCs w:val="18"/>
          <w:lang w:eastAsia="en-US"/>
        </w:rPr>
        <w:t xml:space="preserve">stimate in accordance with CIM Definition Standards and </w:t>
      </w:r>
      <w:r>
        <w:rPr>
          <w:rFonts w:eastAsia="Times New Roman"/>
          <w:i/>
          <w:iCs/>
          <w:sz w:val="18"/>
          <w:szCs w:val="18"/>
          <w:lang w:eastAsia="en-US"/>
        </w:rPr>
        <w:t>NI 43-101</w:t>
      </w:r>
      <w:r w:rsidRPr="00C14195">
        <w:rPr>
          <w:rFonts w:eastAsia="Times New Roman"/>
          <w:i/>
          <w:iCs/>
          <w:sz w:val="18"/>
          <w:szCs w:val="18"/>
          <w:lang w:eastAsia="en-US"/>
        </w:rPr>
        <w:t>.</w:t>
      </w:r>
      <w:r>
        <w:rPr>
          <w:rFonts w:eastAsia="Times New Roman"/>
          <w:i/>
          <w:iCs/>
          <w:sz w:val="18"/>
          <w:szCs w:val="18"/>
          <w:lang w:eastAsia="en-US"/>
        </w:rPr>
        <w:t xml:space="preserve"> </w:t>
      </w:r>
      <w:r w:rsidRPr="00FF69BF">
        <w:rPr>
          <w:rFonts w:eastAsia="Times New Roman"/>
          <w:i/>
          <w:iCs/>
          <w:sz w:val="18"/>
          <w:szCs w:val="18"/>
          <w:lang w:eastAsia="en-US"/>
        </w:rPr>
        <w:t>The Company encourages readers to exercise appropriate caution when evaluating</w:t>
      </w:r>
      <w:r>
        <w:rPr>
          <w:rFonts w:eastAsia="Times New Roman"/>
          <w:i/>
          <w:iCs/>
          <w:sz w:val="18"/>
          <w:szCs w:val="18"/>
          <w:lang w:eastAsia="en-US"/>
        </w:rPr>
        <w:t xml:space="preserve"> the Historical MRE</w:t>
      </w:r>
      <w:r w:rsidRPr="00FF69BF">
        <w:rPr>
          <w:rFonts w:eastAsia="Times New Roman"/>
          <w:i/>
          <w:iCs/>
          <w:sz w:val="18"/>
          <w:szCs w:val="18"/>
          <w:lang w:eastAsia="en-US"/>
        </w:rPr>
        <w:t>.</w:t>
      </w:r>
    </w:p>
    <w:p w14:paraId="0F1C62F6" w14:textId="77777777" w:rsidR="00FD242A" w:rsidRDefault="00FD242A" w:rsidP="00FD242A">
      <w:pPr>
        <w:pStyle w:val="ListParagraph"/>
        <w:spacing w:before="100" w:beforeAutospacing="1" w:after="100" w:afterAutospacing="1" w:line="240" w:lineRule="auto"/>
        <w:ind w:left="360"/>
        <w:jc w:val="both"/>
        <w:rPr>
          <w:rFonts w:eastAsia="Times New Roman"/>
          <w:i/>
          <w:iCs/>
          <w:sz w:val="18"/>
          <w:szCs w:val="18"/>
          <w:lang w:eastAsia="en-US"/>
        </w:rPr>
      </w:pPr>
    </w:p>
    <w:p w14:paraId="4F0D2C1E" w14:textId="77777777" w:rsidR="00FD242A" w:rsidRDefault="00FD242A" w:rsidP="00FD242A">
      <w:pPr>
        <w:pStyle w:val="ListParagraph"/>
        <w:spacing w:before="100" w:beforeAutospacing="1" w:after="100" w:afterAutospacing="1" w:line="240" w:lineRule="auto"/>
        <w:ind w:left="360"/>
        <w:jc w:val="both"/>
        <w:rPr>
          <w:rFonts w:eastAsia="Times New Roman"/>
          <w:i/>
          <w:iCs/>
          <w:sz w:val="18"/>
          <w:szCs w:val="18"/>
          <w:lang w:eastAsia="en-US"/>
        </w:rPr>
      </w:pPr>
      <w:r w:rsidRPr="00756D8F">
        <w:rPr>
          <w:rFonts w:eastAsia="Times New Roman"/>
          <w:i/>
          <w:iCs/>
          <w:sz w:val="18"/>
          <w:szCs w:val="18"/>
          <w:lang w:eastAsia="en-US"/>
        </w:rPr>
        <w:t xml:space="preserve">All scientific and technical information relating to Manhattan pertaining to the Historical MRE contained in this news release is derived from the Technical Report dated </w:t>
      </w:r>
      <w:r>
        <w:rPr>
          <w:rFonts w:eastAsia="Times New Roman"/>
          <w:i/>
          <w:iCs/>
          <w:sz w:val="18"/>
          <w:szCs w:val="18"/>
          <w:lang w:eastAsia="en-US"/>
        </w:rPr>
        <w:t>May 1997</w:t>
      </w:r>
      <w:r w:rsidRPr="00756D8F">
        <w:rPr>
          <w:rFonts w:eastAsia="Times New Roman"/>
          <w:i/>
          <w:iCs/>
          <w:sz w:val="18"/>
          <w:szCs w:val="18"/>
          <w:lang w:eastAsia="en-US"/>
        </w:rPr>
        <w:t xml:space="preserve"> titled “</w:t>
      </w:r>
      <w:r w:rsidRPr="00756D8F">
        <w:rPr>
          <w:i/>
          <w:iCs/>
          <w:sz w:val="18"/>
          <w:szCs w:val="18"/>
        </w:rPr>
        <w:t>Exploration and Pre-Production Mine Development, Manhattan District Project, Nye County</w:t>
      </w:r>
      <w:r w:rsidRPr="00756D8F">
        <w:rPr>
          <w:rFonts w:eastAsia="Times New Roman"/>
          <w:i/>
          <w:iCs/>
          <w:sz w:val="18"/>
          <w:szCs w:val="18"/>
          <w:lang w:eastAsia="en-US"/>
        </w:rPr>
        <w:t>” (the “</w:t>
      </w:r>
      <w:r w:rsidRPr="00756D8F">
        <w:rPr>
          <w:rFonts w:eastAsia="Times New Roman"/>
          <w:b/>
          <w:bCs/>
          <w:i/>
          <w:iCs/>
          <w:sz w:val="18"/>
          <w:szCs w:val="18"/>
          <w:lang w:eastAsia="en-US"/>
        </w:rPr>
        <w:t>Historical Technical Report</w:t>
      </w:r>
      <w:r w:rsidRPr="00756D8F">
        <w:rPr>
          <w:rFonts w:eastAsia="Times New Roman"/>
          <w:i/>
          <w:iCs/>
          <w:sz w:val="18"/>
          <w:szCs w:val="18"/>
          <w:lang w:eastAsia="en-US"/>
        </w:rPr>
        <w:t xml:space="preserve">”) prepared by </w:t>
      </w:r>
      <w:r>
        <w:rPr>
          <w:rFonts w:eastAsia="Times New Roman"/>
          <w:i/>
          <w:iCs/>
          <w:sz w:val="18"/>
          <w:szCs w:val="18"/>
          <w:lang w:eastAsia="en-US"/>
        </w:rPr>
        <w:t xml:space="preserve">New Concept Mining, </w:t>
      </w:r>
      <w:proofErr w:type="gramStart"/>
      <w:r>
        <w:rPr>
          <w:rFonts w:eastAsia="Times New Roman"/>
          <w:i/>
          <w:iCs/>
          <w:sz w:val="18"/>
          <w:szCs w:val="18"/>
          <w:lang w:eastAsia="en-US"/>
        </w:rPr>
        <w:t>Inc.</w:t>
      </w:r>
      <w:r w:rsidRPr="00756D8F">
        <w:rPr>
          <w:rFonts w:eastAsia="Times New Roman"/>
          <w:i/>
          <w:iCs/>
          <w:sz w:val="18"/>
          <w:szCs w:val="18"/>
          <w:lang w:eastAsia="en-US"/>
        </w:rPr>
        <w:t>.</w:t>
      </w:r>
      <w:proofErr w:type="gramEnd"/>
      <w:r w:rsidRPr="00756D8F">
        <w:rPr>
          <w:rFonts w:eastAsia="Times New Roman"/>
          <w:i/>
          <w:iCs/>
          <w:sz w:val="18"/>
          <w:szCs w:val="18"/>
          <w:lang w:eastAsia="en-US"/>
        </w:rPr>
        <w:t xml:space="preserve"> The information contained herein in respect of the Historical MRE is subject to </w:t>
      </w:r>
      <w:proofErr w:type="gramStart"/>
      <w:r w:rsidRPr="00756D8F">
        <w:rPr>
          <w:rFonts w:eastAsia="Times New Roman"/>
          <w:i/>
          <w:iCs/>
          <w:sz w:val="18"/>
          <w:szCs w:val="18"/>
          <w:lang w:eastAsia="en-US"/>
        </w:rPr>
        <w:t>all of</w:t>
      </w:r>
      <w:proofErr w:type="gramEnd"/>
      <w:r w:rsidRPr="00756D8F">
        <w:rPr>
          <w:rFonts w:eastAsia="Times New Roman"/>
          <w:i/>
          <w:iCs/>
          <w:sz w:val="18"/>
          <w:szCs w:val="18"/>
          <w:lang w:eastAsia="en-US"/>
        </w:rPr>
        <w:t xml:space="preserve"> the assumptions, qualifications and procedures set out in the Historical Technical Report and reference should be made to the full text of the Historical Technical Report</w:t>
      </w:r>
      <w:r>
        <w:rPr>
          <w:rFonts w:eastAsia="Times New Roman"/>
          <w:i/>
          <w:iCs/>
          <w:sz w:val="18"/>
          <w:szCs w:val="18"/>
          <w:lang w:eastAsia="en-US"/>
        </w:rPr>
        <w:t>.</w:t>
      </w:r>
    </w:p>
    <w:p w14:paraId="47624FF1" w14:textId="77777777" w:rsidR="00FD242A" w:rsidRPr="00C14195" w:rsidRDefault="00FD242A" w:rsidP="00FD242A">
      <w:pPr>
        <w:pStyle w:val="ListParagraph"/>
        <w:spacing w:before="100" w:beforeAutospacing="1" w:after="100" w:afterAutospacing="1" w:line="240" w:lineRule="auto"/>
        <w:jc w:val="both"/>
        <w:rPr>
          <w:rFonts w:eastAsia="Times New Roman"/>
          <w:i/>
          <w:iCs/>
          <w:sz w:val="18"/>
          <w:szCs w:val="18"/>
          <w:lang w:eastAsia="en-US"/>
        </w:rPr>
      </w:pPr>
    </w:p>
    <w:p w14:paraId="21A1B09C" w14:textId="77777777" w:rsidR="00FD242A" w:rsidRPr="007B16CB" w:rsidRDefault="00FD242A" w:rsidP="00FD242A">
      <w:pPr>
        <w:pStyle w:val="ListParagraph"/>
        <w:numPr>
          <w:ilvl w:val="0"/>
          <w:numId w:val="9"/>
        </w:numPr>
        <w:spacing w:line="240" w:lineRule="auto"/>
        <w:ind w:left="360"/>
        <w:jc w:val="both"/>
        <w:rPr>
          <w:sz w:val="18"/>
          <w:szCs w:val="18"/>
        </w:rPr>
      </w:pPr>
      <w:r w:rsidRPr="009D1003">
        <w:rPr>
          <w:b/>
          <w:bCs/>
          <w:i/>
          <w:iCs/>
          <w:sz w:val="18"/>
          <w:szCs w:val="18"/>
        </w:rPr>
        <w:t>References</w:t>
      </w:r>
      <w:r w:rsidRPr="009D1003">
        <w:rPr>
          <w:i/>
          <w:iCs/>
          <w:sz w:val="18"/>
          <w:szCs w:val="18"/>
        </w:rPr>
        <w:t xml:space="preserve">: (1) Strachan, D. G., and Master, T. D., 2005: Update and Revision of the Gold Wedge Project Development, Nye County. Report prepared for Nevada; Royal Standard Minerals, Inc. and dated March 31, 2005; (2) </w:t>
      </w:r>
      <w:proofErr w:type="spellStart"/>
      <w:r w:rsidRPr="009D1003">
        <w:rPr>
          <w:i/>
          <w:iCs/>
          <w:sz w:val="18"/>
          <w:szCs w:val="18"/>
        </w:rPr>
        <w:t>Dumlala</w:t>
      </w:r>
      <w:proofErr w:type="spellEnd"/>
      <w:r w:rsidRPr="009D1003">
        <w:rPr>
          <w:i/>
          <w:iCs/>
          <w:sz w:val="18"/>
          <w:szCs w:val="18"/>
        </w:rPr>
        <w:t>, M. R., and Lowry, P., 2025:</w:t>
      </w:r>
      <w:r w:rsidRPr="009D1003">
        <w:rPr>
          <w:i/>
          <w:iCs/>
          <w:sz w:val="18"/>
          <w:szCs w:val="18"/>
          <w:lang w:val="en-US"/>
        </w:rPr>
        <w:t xml:space="preserve"> Mineral Resource Estimate and NI 43-101 Technical Report, Manhattan </w:t>
      </w:r>
      <w:r w:rsidRPr="00DF4C4C">
        <w:rPr>
          <w:i/>
          <w:iCs/>
          <w:sz w:val="18"/>
          <w:szCs w:val="18"/>
          <w:lang w:val="en-US"/>
        </w:rPr>
        <w:t xml:space="preserve">Property, Nye County, Nevada. Report prepared for Scorpio Gold Corporation and dated October 23, 2025 (with </w:t>
      </w:r>
      <w:r w:rsidRPr="00756D8F">
        <w:rPr>
          <w:i/>
          <w:iCs/>
          <w:sz w:val="18"/>
          <w:szCs w:val="18"/>
          <w:lang w:val="en-US"/>
        </w:rPr>
        <w:t xml:space="preserve">an effective date of June 4, 2025); and (3) </w:t>
      </w:r>
      <w:r w:rsidRPr="00756D8F">
        <w:rPr>
          <w:i/>
          <w:iCs/>
          <w:sz w:val="18"/>
          <w:szCs w:val="18"/>
        </w:rPr>
        <w:t>Berry, A., and Willard, P., 1997: "Exploration and Pre-Production Mine Development, Manhattan District Project, Nye County". Report prepared for New Concept Mining, Inc. and</w:t>
      </w:r>
      <w:r w:rsidRPr="00756D8F" w:rsidDel="00FF69BF">
        <w:rPr>
          <w:i/>
          <w:iCs/>
          <w:sz w:val="18"/>
          <w:szCs w:val="18"/>
        </w:rPr>
        <w:t xml:space="preserve"> </w:t>
      </w:r>
      <w:r w:rsidRPr="00756D8F">
        <w:rPr>
          <w:i/>
          <w:iCs/>
          <w:sz w:val="18"/>
          <w:szCs w:val="18"/>
        </w:rPr>
        <w:t xml:space="preserve">dated </w:t>
      </w:r>
      <w:r>
        <w:rPr>
          <w:i/>
          <w:iCs/>
          <w:sz w:val="18"/>
          <w:szCs w:val="18"/>
        </w:rPr>
        <w:t>May 1997</w:t>
      </w:r>
      <w:r w:rsidRPr="00756D8F">
        <w:rPr>
          <w:i/>
          <w:iCs/>
          <w:sz w:val="18"/>
          <w:szCs w:val="18"/>
        </w:rPr>
        <w:t>.</w:t>
      </w:r>
      <w:r w:rsidRPr="00DF4C4C">
        <w:rPr>
          <w:i/>
          <w:iCs/>
          <w:sz w:val="18"/>
          <w:szCs w:val="18"/>
        </w:rPr>
        <w:t xml:space="preserve"> </w:t>
      </w:r>
    </w:p>
    <w:p w14:paraId="1F9D7967" w14:textId="77777777" w:rsidR="00BB20B3" w:rsidRPr="00345136" w:rsidRDefault="00BB20B3" w:rsidP="00BB20B3">
      <w:pPr>
        <w:spacing w:line="240" w:lineRule="auto"/>
        <w:jc w:val="both"/>
        <w:rPr>
          <w:sz w:val="18"/>
        </w:rPr>
      </w:pPr>
    </w:p>
    <w:p w14:paraId="77472E85" w14:textId="77777777" w:rsidR="00BB20B3" w:rsidRPr="00345136" w:rsidRDefault="00BB20B3" w:rsidP="00BB20B3">
      <w:pPr>
        <w:spacing w:line="240" w:lineRule="auto"/>
        <w:jc w:val="both"/>
        <w:rPr>
          <w:b/>
          <w:bCs/>
        </w:rPr>
      </w:pPr>
    </w:p>
    <w:p w14:paraId="00D096D0" w14:textId="77777777" w:rsidR="00BB20B3" w:rsidRPr="00345136" w:rsidRDefault="00BB20B3" w:rsidP="00BB20B3">
      <w:pPr>
        <w:spacing w:line="240" w:lineRule="auto"/>
        <w:jc w:val="both"/>
        <w:rPr>
          <w:b/>
          <w:bCs/>
        </w:rPr>
      </w:pPr>
      <w:r w:rsidRPr="00345136">
        <w:rPr>
          <w:b/>
          <w:bCs/>
        </w:rPr>
        <w:t>Qualified Person</w:t>
      </w:r>
    </w:p>
    <w:p w14:paraId="5D364BA7" w14:textId="22632468" w:rsidR="00BB20B3" w:rsidRPr="00345136" w:rsidRDefault="00BB20B3" w:rsidP="00BB20B3">
      <w:pPr>
        <w:keepNext/>
        <w:keepLines/>
        <w:spacing w:line="240" w:lineRule="auto"/>
        <w:jc w:val="both"/>
      </w:pPr>
      <w:r w:rsidRPr="00345136">
        <w:br/>
        <w:t xml:space="preserve">The scientific and technical information in this news release has been reviewed, verified and approved by </w:t>
      </w:r>
      <w:r w:rsidR="001930C5" w:rsidRPr="00345136">
        <w:t>Thomas Poitras</w:t>
      </w:r>
      <w:r w:rsidRPr="00345136">
        <w:t>, P. Geo., Chief Geologist of Scorpio Gold, a "Qualified Person", as defined under National Instrument 43-101 Standards of Disclosure for Mineral Projects. Verification included review of laboratory certificates, review of field logs and chain-of-custody records, inspection of blank/standard/duplicate performance, and review of collar and down-hole survey data. No limitations or failures to verify were identified.</w:t>
      </w:r>
    </w:p>
    <w:p w14:paraId="07013850" w14:textId="77777777" w:rsidR="00BB20B3" w:rsidRPr="00345136" w:rsidRDefault="00BB20B3" w:rsidP="00BB20B3">
      <w:pPr>
        <w:spacing w:before="240" w:line="240" w:lineRule="auto"/>
        <w:contextualSpacing/>
        <w:rPr>
          <w:b/>
          <w:bCs/>
          <w:color w:val="000000" w:themeColor="text1"/>
        </w:rPr>
      </w:pPr>
    </w:p>
    <w:p w14:paraId="54DA108E" w14:textId="77777777" w:rsidR="00BB20B3" w:rsidRPr="00345136" w:rsidRDefault="00BB20B3" w:rsidP="00BB20B3">
      <w:pPr>
        <w:spacing w:before="240" w:line="240" w:lineRule="auto"/>
        <w:contextualSpacing/>
        <w:rPr>
          <w:color w:val="000000"/>
        </w:rPr>
      </w:pPr>
      <w:r w:rsidRPr="00345136">
        <w:rPr>
          <w:b/>
          <w:bCs/>
          <w:color w:val="000000" w:themeColor="text1"/>
        </w:rPr>
        <w:t>About Scorpio Gold Corp.</w:t>
      </w:r>
      <w:r w:rsidRPr="00345136">
        <w:br/>
      </w:r>
    </w:p>
    <w:p w14:paraId="4CB9F9F7" w14:textId="77777777" w:rsidR="00BB20B3" w:rsidRPr="00345136" w:rsidRDefault="00BB20B3" w:rsidP="00BB20B3">
      <w:pPr>
        <w:spacing w:after="160" w:line="257" w:lineRule="auto"/>
        <w:jc w:val="both"/>
      </w:pPr>
      <w:r w:rsidRPr="00345136">
        <w:t xml:space="preserve">Scorpio Gold holds a 100% interest in the Manhattan District located in the Walker Lane Trend of Nevada, USA. Scorpio Gold's Manhattan District is ~4,780-hectares and comprises the advanced exploration-stage </w:t>
      </w:r>
      <w:proofErr w:type="spellStart"/>
      <w:r w:rsidRPr="00345136">
        <w:t>Goldwedge</w:t>
      </w:r>
      <w:proofErr w:type="spellEnd"/>
      <w:r w:rsidRPr="00345136">
        <w:t xml:space="preserve"> Mine, with a 400 ton per day maximum capacity gravity mill, and four past-producing pits that were acquired from Kinross in 2021 (see news release dated </w:t>
      </w:r>
      <w:hyperlink r:id="rId19">
        <w:r w:rsidRPr="00345136">
          <w:rPr>
            <w:rStyle w:val="Hyperlink"/>
            <w:u w:val="none"/>
          </w:rPr>
          <w:t>March 25, 2021</w:t>
        </w:r>
      </w:hyperlink>
      <w:r w:rsidRPr="00345136">
        <w:t>). The consolidated Manhattan District presents an exciting late-stage exploration opportunity, with over 140,000 metres of historical drilling, significant resource potential, and valuable permitting and water rights.</w:t>
      </w:r>
    </w:p>
    <w:p w14:paraId="15B76587" w14:textId="77777777" w:rsidR="00BB20B3" w:rsidRPr="00345136" w:rsidRDefault="00BB20B3" w:rsidP="00BB20B3">
      <w:pPr>
        <w:spacing w:after="160" w:line="257" w:lineRule="auto"/>
        <w:jc w:val="both"/>
        <w:sectPr w:rsidR="00BB20B3" w:rsidRPr="00345136" w:rsidSect="00BB20B3">
          <w:footerReference w:type="default" r:id="rId20"/>
          <w:footerReference w:type="first" r:id="rId21"/>
          <w:pgSz w:w="12240" w:h="15840"/>
          <w:pgMar w:top="720" w:right="720" w:bottom="720" w:left="720" w:header="720" w:footer="360" w:gutter="0"/>
          <w:pgNumType w:start="1"/>
          <w:cols w:space="720"/>
          <w:titlePg/>
          <w:docGrid w:linePitch="299"/>
        </w:sectPr>
      </w:pPr>
      <w:r w:rsidRPr="00345136">
        <w:rPr>
          <w:i/>
          <w:iCs/>
        </w:rPr>
        <w:t>Neither the TSX Venture Exchange nor its Regulation Services Provider (as that term is defined in the policies of the Exchange) accepts responsibility for the adequacy or accuracy of this release.</w:t>
      </w:r>
    </w:p>
    <w:p w14:paraId="37BEBBFE" w14:textId="77777777" w:rsidR="00BB20B3" w:rsidRPr="00345136" w:rsidRDefault="00BB20B3" w:rsidP="00BB20B3">
      <w:pPr>
        <w:spacing w:after="160" w:line="257" w:lineRule="auto"/>
        <w:jc w:val="both"/>
        <w:rPr>
          <w:color w:val="000000"/>
        </w:rPr>
      </w:pPr>
      <w:r w:rsidRPr="00345136">
        <w:rPr>
          <w:b/>
          <w:color w:val="000000"/>
        </w:rPr>
        <w:lastRenderedPageBreak/>
        <w:t>ON BEHALF OF THE BOARD OF SCORPIO GOLD CORPORATION</w:t>
      </w:r>
    </w:p>
    <w:p w14:paraId="2B3ED1D9" w14:textId="77777777" w:rsidR="00BB20B3" w:rsidRPr="00345136" w:rsidRDefault="00BB20B3" w:rsidP="00BB20B3">
      <w:pPr>
        <w:keepNext/>
        <w:keepLines/>
        <w:pBdr>
          <w:top w:val="nil"/>
          <w:left w:val="nil"/>
          <w:bottom w:val="nil"/>
          <w:right w:val="nil"/>
          <w:between w:val="nil"/>
        </w:pBdr>
        <w:shd w:val="clear" w:color="auto" w:fill="FFFFFF" w:themeFill="background1"/>
        <w:spacing w:before="300" w:after="300" w:line="240" w:lineRule="auto"/>
        <w:rPr>
          <w:b/>
          <w:bCs/>
          <w:color w:val="000000"/>
        </w:rPr>
      </w:pPr>
      <w:r w:rsidRPr="00345136">
        <w:rPr>
          <w:b/>
          <w:bCs/>
          <w:color w:val="000000" w:themeColor="text1"/>
        </w:rPr>
        <w:t>Zayn Kalyan, Chief Executive Officer and Director</w:t>
      </w:r>
      <w:r w:rsidRPr="00345136">
        <w:br/>
      </w:r>
      <w:r w:rsidRPr="00345136">
        <w:rPr>
          <w:color w:val="000000" w:themeColor="text1"/>
        </w:rPr>
        <w:t>Tel: (604)-252-2672</w:t>
      </w:r>
      <w:r w:rsidRPr="00345136">
        <w:br/>
      </w:r>
      <w:r w:rsidRPr="00345136">
        <w:rPr>
          <w:color w:val="000000" w:themeColor="text1"/>
        </w:rPr>
        <w:t xml:space="preserve">Email: </w:t>
      </w:r>
      <w:r w:rsidRPr="00345136">
        <w:rPr>
          <w:color w:val="000000" w:themeColor="text1"/>
          <w:u w:val="single"/>
        </w:rPr>
        <w:t>zayn@scorpiogold.com</w:t>
      </w:r>
      <w:r w:rsidRPr="00345136">
        <w:rPr>
          <w:b/>
          <w:bCs/>
          <w:color w:val="000000" w:themeColor="text1"/>
        </w:rPr>
        <w:t>  </w:t>
      </w:r>
    </w:p>
    <w:p w14:paraId="24052BC1" w14:textId="77777777" w:rsidR="00BB20B3" w:rsidRPr="00345136" w:rsidRDefault="00BB20B3" w:rsidP="00BB20B3">
      <w:pPr>
        <w:keepNext/>
        <w:keepLines/>
        <w:pBdr>
          <w:top w:val="nil"/>
          <w:left w:val="nil"/>
          <w:bottom w:val="nil"/>
          <w:right w:val="nil"/>
          <w:between w:val="nil"/>
        </w:pBdr>
        <w:shd w:val="clear" w:color="auto" w:fill="FFFFFF"/>
        <w:spacing w:before="300" w:after="300" w:line="240" w:lineRule="auto"/>
        <w:rPr>
          <w:color w:val="000000"/>
        </w:rPr>
      </w:pPr>
      <w:r w:rsidRPr="00345136">
        <w:rPr>
          <w:b/>
          <w:bCs/>
          <w:color w:val="000000"/>
        </w:rPr>
        <w:t>Investor Relations Contact:</w:t>
      </w:r>
      <w:r w:rsidRPr="00345136">
        <w:rPr>
          <w:color w:val="000000"/>
        </w:rPr>
        <w:br/>
        <w:t>Kin Communications Inc.</w:t>
      </w:r>
      <w:r w:rsidRPr="00345136">
        <w:rPr>
          <w:color w:val="000000"/>
        </w:rPr>
        <w:br/>
        <w:t>Tel: (604) 684-6730</w:t>
      </w:r>
      <w:r w:rsidRPr="00345136">
        <w:rPr>
          <w:color w:val="000000"/>
        </w:rPr>
        <w:br/>
        <w:t>Email: SGN@kincommunications.com</w:t>
      </w:r>
    </w:p>
    <w:p w14:paraId="756C4E3F" w14:textId="77777777" w:rsidR="00BB20B3" w:rsidRPr="00345136" w:rsidRDefault="00BB20B3" w:rsidP="00BB20B3">
      <w:pPr>
        <w:adjustRightInd w:val="0"/>
        <w:spacing w:line="240" w:lineRule="auto"/>
        <w:contextualSpacing/>
        <w:rPr>
          <w:rFonts w:ascii="Arial-BoldMT" w:hAnsi="Arial-BoldMT" w:cs="Arial-BoldMT"/>
          <w:b/>
          <w:bCs/>
        </w:rPr>
      </w:pPr>
      <w:r w:rsidRPr="00345136">
        <w:rPr>
          <w:rFonts w:ascii="Arial-BoldMT" w:hAnsi="Arial-BoldMT" w:cs="Arial-BoldMT"/>
          <w:b/>
          <w:bCs/>
        </w:rPr>
        <w:t>Connect with Scorpio Gold:</w:t>
      </w:r>
    </w:p>
    <w:p w14:paraId="5702BD7F" w14:textId="77777777" w:rsidR="00BB20B3" w:rsidRPr="00345136" w:rsidRDefault="00BB20B3" w:rsidP="00BB20B3">
      <w:pPr>
        <w:pBdr>
          <w:top w:val="nil"/>
          <w:left w:val="nil"/>
          <w:bottom w:val="nil"/>
          <w:right w:val="nil"/>
          <w:between w:val="nil"/>
        </w:pBdr>
        <w:shd w:val="clear" w:color="auto" w:fill="FFFFFF"/>
        <w:spacing w:line="240" w:lineRule="auto"/>
        <w:contextualSpacing/>
        <w:rPr>
          <w:color w:val="000000"/>
        </w:rPr>
      </w:pPr>
      <w:hyperlink r:id="rId22" w:history="1">
        <w:r w:rsidRPr="00345136">
          <w:rPr>
            <w:rStyle w:val="Hyperlink"/>
          </w:rPr>
          <w:t>Email</w:t>
        </w:r>
      </w:hyperlink>
      <w:r w:rsidRPr="00345136">
        <w:rPr>
          <w:color w:val="000000"/>
        </w:rPr>
        <w:t xml:space="preserve"> | </w:t>
      </w:r>
      <w:hyperlink r:id="rId23" w:history="1">
        <w:r w:rsidRPr="00345136">
          <w:rPr>
            <w:rStyle w:val="Hyperlink"/>
          </w:rPr>
          <w:t>Website</w:t>
        </w:r>
      </w:hyperlink>
      <w:r w:rsidRPr="00345136">
        <w:rPr>
          <w:color w:val="000000"/>
        </w:rPr>
        <w:t xml:space="preserve"> | </w:t>
      </w:r>
      <w:hyperlink r:id="rId24" w:history="1">
        <w:r w:rsidRPr="00345136">
          <w:rPr>
            <w:rStyle w:val="Hyperlink"/>
          </w:rPr>
          <w:t>Facebook</w:t>
        </w:r>
      </w:hyperlink>
      <w:r w:rsidRPr="00345136">
        <w:rPr>
          <w:color w:val="000000"/>
        </w:rPr>
        <w:t xml:space="preserve"> | </w:t>
      </w:r>
      <w:hyperlink r:id="rId25" w:history="1">
        <w:r w:rsidRPr="00345136">
          <w:rPr>
            <w:rStyle w:val="Hyperlink"/>
          </w:rPr>
          <w:t>LinkedIn</w:t>
        </w:r>
      </w:hyperlink>
      <w:r w:rsidRPr="00345136">
        <w:rPr>
          <w:color w:val="000000"/>
        </w:rPr>
        <w:t xml:space="preserve"> | </w:t>
      </w:r>
      <w:hyperlink r:id="rId26" w:history="1">
        <w:r w:rsidRPr="00345136">
          <w:rPr>
            <w:rStyle w:val="Hyperlink"/>
          </w:rPr>
          <w:t>X</w:t>
        </w:r>
      </w:hyperlink>
      <w:r w:rsidRPr="00345136">
        <w:rPr>
          <w:color w:val="000000"/>
        </w:rPr>
        <w:t xml:space="preserve"> | </w:t>
      </w:r>
      <w:hyperlink r:id="rId27" w:history="1">
        <w:r w:rsidRPr="00345136">
          <w:rPr>
            <w:rStyle w:val="Hyperlink"/>
          </w:rPr>
          <w:t>YouTube</w:t>
        </w:r>
      </w:hyperlink>
    </w:p>
    <w:p w14:paraId="1F2C9FA9" w14:textId="77777777" w:rsidR="00BB20B3" w:rsidRPr="00345136" w:rsidRDefault="00BB20B3" w:rsidP="00BB20B3">
      <w:pPr>
        <w:pStyle w:val="BodyText"/>
        <w:jc w:val="both"/>
        <w:rPr>
          <w:rStyle w:val="Hyperlink"/>
          <w:rFonts w:ascii="ArialMT" w:eastAsiaTheme="minorHAnsi" w:hAnsi="ArialMT" w:cs="ArialMT"/>
          <w:sz w:val="22"/>
          <w:szCs w:val="22"/>
          <w:lang w:val="en-CA"/>
        </w:rPr>
      </w:pPr>
      <w:r w:rsidRPr="00345136">
        <w:rPr>
          <w:rFonts w:ascii="ArialMT" w:eastAsiaTheme="minorHAnsi" w:hAnsi="ArialMT" w:cs="ArialMT"/>
          <w:sz w:val="22"/>
          <w:szCs w:val="22"/>
          <w:lang w:val="en-CA"/>
        </w:rPr>
        <w:t xml:space="preserve">To register for investor updates please visit: </w:t>
      </w:r>
      <w:hyperlink r:id="rId28" w:history="1">
        <w:r w:rsidRPr="00345136">
          <w:rPr>
            <w:rStyle w:val="Hyperlink"/>
            <w:rFonts w:ascii="ArialMT" w:eastAsiaTheme="minorHAnsi" w:hAnsi="ArialMT" w:cs="ArialMT"/>
            <w:sz w:val="22"/>
            <w:szCs w:val="22"/>
            <w:lang w:val="en-CA"/>
          </w:rPr>
          <w:t>scorpiogold.com</w:t>
        </w:r>
      </w:hyperlink>
    </w:p>
    <w:p w14:paraId="0DF5C6CD" w14:textId="77777777" w:rsidR="00BB20B3" w:rsidRPr="00345136" w:rsidRDefault="00BB20B3" w:rsidP="00BB20B3">
      <w:pPr>
        <w:pStyle w:val="BodyText"/>
        <w:jc w:val="both"/>
        <w:rPr>
          <w:rStyle w:val="Hyperlink"/>
          <w:rFonts w:ascii="ArialMT" w:eastAsiaTheme="minorHAnsi" w:hAnsi="ArialMT" w:cs="ArialMT"/>
          <w:b/>
          <w:bCs/>
          <w:sz w:val="22"/>
          <w:szCs w:val="22"/>
          <w:lang w:val="en-CA" w:eastAsia="en-CA"/>
        </w:rPr>
      </w:pPr>
      <w:r w:rsidRPr="00345136">
        <w:rPr>
          <w:rFonts w:ascii="ArialMT" w:eastAsiaTheme="minorHAnsi" w:hAnsi="ArialMT" w:cs="ArialMT"/>
          <w:sz w:val="22"/>
          <w:szCs w:val="22"/>
          <w:lang w:val="en-CA"/>
        </w:rPr>
        <w:t xml:space="preserve">TSXV: </w:t>
      </w:r>
      <w:r w:rsidRPr="00345136">
        <w:rPr>
          <w:rFonts w:ascii="ArialMT" w:eastAsiaTheme="minorHAnsi" w:hAnsi="ArialMT" w:cs="ArialMT"/>
          <w:b/>
          <w:bCs/>
          <w:sz w:val="22"/>
          <w:szCs w:val="22"/>
          <w:lang w:val="en-CA"/>
        </w:rPr>
        <w:t xml:space="preserve">SGN </w:t>
      </w:r>
      <w:r w:rsidRPr="00345136">
        <w:rPr>
          <w:rFonts w:ascii="ArialMT" w:eastAsiaTheme="minorHAnsi" w:hAnsi="ArialMT" w:cs="ArialMT"/>
          <w:sz w:val="22"/>
          <w:szCs w:val="22"/>
          <w:lang w:val="en-CA"/>
        </w:rPr>
        <w:t xml:space="preserve">| OTC: </w:t>
      </w:r>
      <w:r w:rsidRPr="00345136">
        <w:rPr>
          <w:rFonts w:ascii="ArialMT" w:eastAsiaTheme="minorHAnsi" w:hAnsi="ArialMT" w:cs="ArialMT"/>
          <w:b/>
          <w:bCs/>
          <w:sz w:val="22"/>
          <w:szCs w:val="22"/>
          <w:lang w:val="en-CA"/>
        </w:rPr>
        <w:t>SRCRF</w:t>
      </w:r>
      <w:r w:rsidRPr="00345136">
        <w:rPr>
          <w:rFonts w:ascii="ArialMT" w:eastAsiaTheme="minorHAnsi" w:hAnsi="ArialMT" w:cs="ArialMT"/>
          <w:sz w:val="22"/>
          <w:szCs w:val="22"/>
          <w:lang w:val="en-CA"/>
        </w:rPr>
        <w:t xml:space="preserve"> | FSE: </w:t>
      </w:r>
      <w:r w:rsidRPr="00345136">
        <w:rPr>
          <w:rFonts w:ascii="ArialMT" w:eastAsiaTheme="minorHAnsi" w:hAnsi="ArialMT" w:cs="ArialMT"/>
          <w:b/>
          <w:bCs/>
          <w:sz w:val="22"/>
          <w:szCs w:val="22"/>
          <w:lang w:val="en-CA"/>
        </w:rPr>
        <w:t>RY9</w:t>
      </w:r>
    </w:p>
    <w:p w14:paraId="28D866FD" w14:textId="77777777" w:rsidR="00BB20B3" w:rsidRPr="00345136" w:rsidRDefault="00BB20B3" w:rsidP="00BB20B3">
      <w:pPr>
        <w:pBdr>
          <w:top w:val="nil"/>
          <w:left w:val="nil"/>
          <w:bottom w:val="nil"/>
          <w:right w:val="nil"/>
          <w:between w:val="nil"/>
        </w:pBdr>
        <w:shd w:val="clear" w:color="auto" w:fill="FFFFFF"/>
        <w:spacing w:before="300" w:after="240" w:line="240" w:lineRule="auto"/>
        <w:jc w:val="both"/>
        <w:rPr>
          <w:b/>
          <w:bCs/>
          <w:color w:val="000000"/>
        </w:rPr>
      </w:pPr>
      <w:r w:rsidRPr="00345136">
        <w:rPr>
          <w:b/>
          <w:bCs/>
          <w:i/>
          <w:color w:val="000000"/>
        </w:rPr>
        <w:t>Forward-Looking Statements</w:t>
      </w:r>
    </w:p>
    <w:p w14:paraId="39D0898A" w14:textId="77777777" w:rsidR="00CE6EA7" w:rsidRPr="00345136" w:rsidRDefault="00CE6EA7" w:rsidP="00CE6EA7">
      <w:pPr>
        <w:keepNext/>
        <w:spacing w:line="240" w:lineRule="auto"/>
        <w:jc w:val="both"/>
        <w:rPr>
          <w:i/>
          <w:color w:val="000000"/>
        </w:rPr>
      </w:pPr>
      <w:r w:rsidRPr="00345136">
        <w:rPr>
          <w:i/>
          <w:color w:val="000000"/>
        </w:rPr>
        <w:t>This news release contains statements that constitute “forward-looking statements.” Such forward looking statements involve known and unknown risks, uncertainties and other factors that may cause the Company’s actual results, performance or achievements, or developments to differ materially from the anticipated results, performance or achievements expressed or implied by such forward-looking statements.  Forward looking statements are statements that are not historical facts and are generally, but not always, identified by the words “expects,” “plans,” “anticipates,” “believes,” “intends,” “estimates,” “projects,” “potential” and similar expressions, or that events or conditions “will,” “would,” “may,” “could” or “should” occur.</w:t>
      </w:r>
    </w:p>
    <w:p w14:paraId="6EE6FABF" w14:textId="77777777" w:rsidR="00CE6EA7" w:rsidRPr="00345136" w:rsidRDefault="00CE6EA7" w:rsidP="00CE6EA7">
      <w:pPr>
        <w:keepNext/>
        <w:spacing w:line="240" w:lineRule="auto"/>
        <w:jc w:val="both"/>
        <w:rPr>
          <w:i/>
          <w:color w:val="000000"/>
        </w:rPr>
      </w:pPr>
    </w:p>
    <w:p w14:paraId="10394F4C" w14:textId="77777777" w:rsidR="00CE6EA7" w:rsidRPr="00345136" w:rsidRDefault="00CE6EA7" w:rsidP="00CE6EA7">
      <w:pPr>
        <w:keepNext/>
        <w:spacing w:line="240" w:lineRule="auto"/>
        <w:jc w:val="both"/>
        <w:rPr>
          <w:i/>
          <w:color w:val="000000"/>
        </w:rPr>
      </w:pPr>
      <w:r w:rsidRPr="00345136">
        <w:rPr>
          <w:i/>
          <w:color w:val="000000"/>
        </w:rPr>
        <w:t>Forward-looking statements in this news release include, among others, statements relating to the timing, scope and interpretation of assay results; potential for resource growth; the potential continuity, extent and characteristics of mineralization along the Reliance Trend, Gap Zone, Zanzibar Trend and Mustang Hill; the intended follow-up exploration activities and timing of future disclosures, and other statements that are not historical facts. By their nature, forward-looking statements involve known and unknown risks, uncertainties and other factors which may cause our actual results, performance or achievements, or other future events, to be materially different from any future results, performance or achievements expressed or implied by such forward-looking statements. Such factors and risks include, among others: the Company may require additional financing from time to time in order to continue its operations which may not be available when needed or on acceptable terms and conditions acceptable; compliance with extensive government regulation; domestic and foreign laws and regulations could adversely affect the Company’s business and results of operations; the stock markets have experienced volatility that often has been unrelated to the performance of companies and these fluctuations may adversely affect the price of the Company’s securities, regardless of its operating performance.</w:t>
      </w:r>
    </w:p>
    <w:p w14:paraId="5BE82515" w14:textId="77777777" w:rsidR="00CE6EA7" w:rsidRPr="00345136" w:rsidRDefault="00CE6EA7" w:rsidP="00CE6EA7">
      <w:pPr>
        <w:keepNext/>
        <w:spacing w:line="240" w:lineRule="auto"/>
        <w:jc w:val="both"/>
        <w:rPr>
          <w:i/>
          <w:color w:val="000000"/>
        </w:rPr>
      </w:pPr>
    </w:p>
    <w:p w14:paraId="5216D5CD" w14:textId="01A3DA20" w:rsidR="00441B79" w:rsidRPr="00345136" w:rsidRDefault="00CE6EA7" w:rsidP="00CE6EA7">
      <w:pPr>
        <w:keepNext/>
        <w:spacing w:line="240" w:lineRule="auto"/>
        <w:jc w:val="both"/>
        <w:rPr>
          <w:color w:val="000000"/>
        </w:rPr>
      </w:pPr>
      <w:r w:rsidRPr="00345136">
        <w:rPr>
          <w:i/>
          <w:color w:val="000000"/>
        </w:rPr>
        <w:t xml:space="preserve">The forward-looking information contained in this news release represents the expectations of the Company as of the date of this news release and, accordingly, is subject to change after such date. Readers should not place undue importance on forward-looking information and should not rely upon this information as of any other date. The Company undertakes no obligation to update these forward-looking statements </w:t>
      </w:r>
      <w:proofErr w:type="gramStart"/>
      <w:r w:rsidRPr="00345136">
        <w:rPr>
          <w:i/>
          <w:color w:val="000000"/>
        </w:rPr>
        <w:t>in the event that</w:t>
      </w:r>
      <w:proofErr w:type="gramEnd"/>
      <w:r w:rsidRPr="00345136">
        <w:rPr>
          <w:i/>
          <w:color w:val="000000"/>
        </w:rPr>
        <w:t xml:space="preserve"> management's beliefs, estimates or opinions, or other factors, should change.</w:t>
      </w:r>
    </w:p>
    <w:sectPr w:rsidR="00441B79" w:rsidRPr="00345136" w:rsidSect="00BB20B3">
      <w:headerReference w:type="default" r:id="rId29"/>
      <w:pgSz w:w="12240" w:h="15840"/>
      <w:pgMar w:top="720" w:right="720" w:bottom="720" w:left="720" w:header="720" w:footer="36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C84B6" w14:textId="77777777" w:rsidR="00F539C0" w:rsidRDefault="00F539C0">
      <w:pPr>
        <w:spacing w:line="240" w:lineRule="auto"/>
      </w:pPr>
      <w:r>
        <w:separator/>
      </w:r>
    </w:p>
  </w:endnote>
  <w:endnote w:type="continuationSeparator" w:id="0">
    <w:p w14:paraId="7A849D5D" w14:textId="77777777" w:rsidR="00F539C0" w:rsidRDefault="00F53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Arial-BoldMT">
    <w:altName w:val="Arial"/>
    <w:panose1 w:val="020B0604020202020204"/>
    <w:charset w:val="00"/>
    <w:family w:val="auto"/>
    <w:pitch w:val="default"/>
    <w:sig w:usb0="00000003" w:usb1="00000000" w:usb2="00000000" w:usb3="00000000" w:csb0="00000001" w:csb1="00000000"/>
  </w:font>
  <w:font w:name="ArialMT">
    <w:altName w:val="Arial"/>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8208" w14:textId="77777777" w:rsidR="00BB20B3" w:rsidRDefault="00BB20B3">
    <w:pPr>
      <w:pStyle w:val="Footer"/>
      <w:spacing w:line="18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B5AC" w14:textId="77777777" w:rsidR="00BB20B3" w:rsidRDefault="00BB20B3">
    <w:pPr>
      <w:pStyle w:val="Footer"/>
      <w:tabs>
        <w:tab w:val="clear" w:pos="4680"/>
        <w:tab w:val="clear" w:pos="9360"/>
      </w:tabs>
      <w:jc w:val="center"/>
      <w:rPr>
        <w:caps/>
        <w:noProof/>
        <w:color w:val="4F81BD" w:themeColor="accent1"/>
      </w:rPr>
    </w:pPr>
  </w:p>
  <w:p w14:paraId="4D0E78DA" w14:textId="77777777" w:rsidR="00BB20B3" w:rsidRDefault="00BB2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50199" w14:textId="77777777" w:rsidR="00F539C0" w:rsidRDefault="00F539C0">
      <w:pPr>
        <w:spacing w:line="240" w:lineRule="auto"/>
      </w:pPr>
      <w:r>
        <w:separator/>
      </w:r>
    </w:p>
  </w:footnote>
  <w:footnote w:type="continuationSeparator" w:id="0">
    <w:p w14:paraId="33B60767" w14:textId="77777777" w:rsidR="00F539C0" w:rsidRDefault="00F539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13AD" w14:textId="77777777" w:rsidR="00B97FB1" w:rsidRPr="00FE3D23" w:rsidRDefault="00B97FB1" w:rsidP="00FE3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55625"/>
    <w:multiLevelType w:val="hybridMultilevel"/>
    <w:tmpl w:val="CD8C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5383C"/>
    <w:multiLevelType w:val="hybridMultilevel"/>
    <w:tmpl w:val="3BD835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1DB44488"/>
    <w:multiLevelType w:val="hybridMultilevel"/>
    <w:tmpl w:val="2E6AED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4C51C1"/>
    <w:multiLevelType w:val="hybridMultilevel"/>
    <w:tmpl w:val="2128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A049F"/>
    <w:multiLevelType w:val="hybridMultilevel"/>
    <w:tmpl w:val="0CEAC462"/>
    <w:lvl w:ilvl="0" w:tplc="95661962">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0C41455"/>
    <w:multiLevelType w:val="hybridMultilevel"/>
    <w:tmpl w:val="7BF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3E2C14"/>
    <w:multiLevelType w:val="hybridMultilevel"/>
    <w:tmpl w:val="4D16CC36"/>
    <w:lvl w:ilvl="0" w:tplc="3234712E">
      <w:start w:val="2"/>
      <w:numFmt w:val="bullet"/>
      <w:lvlText w:val="-"/>
      <w:lvlJc w:val="left"/>
      <w:pPr>
        <w:ind w:left="720" w:hanging="360"/>
      </w:pPr>
      <w:rPr>
        <w:rFonts w:ascii="Arial" w:eastAsia="Arial"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A380E9B"/>
    <w:multiLevelType w:val="hybridMultilevel"/>
    <w:tmpl w:val="E7BA5BA8"/>
    <w:lvl w:ilvl="0" w:tplc="D67E1FB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27F17"/>
    <w:multiLevelType w:val="hybridMultilevel"/>
    <w:tmpl w:val="E318C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54165504">
    <w:abstractNumId w:val="1"/>
  </w:num>
  <w:num w:numId="2" w16cid:durableId="1987127254">
    <w:abstractNumId w:val="8"/>
  </w:num>
  <w:num w:numId="3" w16cid:durableId="643435558">
    <w:abstractNumId w:val="4"/>
  </w:num>
  <w:num w:numId="4" w16cid:durableId="377515495">
    <w:abstractNumId w:val="0"/>
  </w:num>
  <w:num w:numId="5" w16cid:durableId="1786382455">
    <w:abstractNumId w:val="5"/>
  </w:num>
  <w:num w:numId="6" w16cid:durableId="1633824157">
    <w:abstractNumId w:val="6"/>
  </w:num>
  <w:num w:numId="7" w16cid:durableId="1968731488">
    <w:abstractNumId w:val="3"/>
  </w:num>
  <w:num w:numId="8" w16cid:durableId="428426614">
    <w:abstractNumId w:val="7"/>
  </w:num>
  <w:num w:numId="9" w16cid:durableId="1416636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377-0166-1451, v. 3"/>
    <w:docVar w:name="ndGeneratedStampLocation" w:val="ExceptFirst"/>
  </w:docVars>
  <w:rsids>
    <w:rsidRoot w:val="00325581"/>
    <w:rsid w:val="000026F1"/>
    <w:rsid w:val="000052D8"/>
    <w:rsid w:val="00005425"/>
    <w:rsid w:val="00006FA7"/>
    <w:rsid w:val="00013D1F"/>
    <w:rsid w:val="00015933"/>
    <w:rsid w:val="00020E8D"/>
    <w:rsid w:val="000234E4"/>
    <w:rsid w:val="0002663B"/>
    <w:rsid w:val="00027EB9"/>
    <w:rsid w:val="00031657"/>
    <w:rsid w:val="0003479F"/>
    <w:rsid w:val="000369B8"/>
    <w:rsid w:val="00042FBC"/>
    <w:rsid w:val="00044793"/>
    <w:rsid w:val="0005043E"/>
    <w:rsid w:val="00050B13"/>
    <w:rsid w:val="00051DBC"/>
    <w:rsid w:val="0005435D"/>
    <w:rsid w:val="000549C6"/>
    <w:rsid w:val="00065503"/>
    <w:rsid w:val="00065C9E"/>
    <w:rsid w:val="0007270A"/>
    <w:rsid w:val="000735C2"/>
    <w:rsid w:val="000753BD"/>
    <w:rsid w:val="00076DD5"/>
    <w:rsid w:val="0008018D"/>
    <w:rsid w:val="00080716"/>
    <w:rsid w:val="00081CFD"/>
    <w:rsid w:val="0008361B"/>
    <w:rsid w:val="0008498F"/>
    <w:rsid w:val="00086D6E"/>
    <w:rsid w:val="00094D65"/>
    <w:rsid w:val="00095BBA"/>
    <w:rsid w:val="000A020E"/>
    <w:rsid w:val="000A1236"/>
    <w:rsid w:val="000A2C0E"/>
    <w:rsid w:val="000A708A"/>
    <w:rsid w:val="000B2859"/>
    <w:rsid w:val="000B2EE9"/>
    <w:rsid w:val="000B328B"/>
    <w:rsid w:val="000B4BB5"/>
    <w:rsid w:val="000C131D"/>
    <w:rsid w:val="000C1B1B"/>
    <w:rsid w:val="000C324A"/>
    <w:rsid w:val="000C4C9C"/>
    <w:rsid w:val="000C6BF9"/>
    <w:rsid w:val="000D2200"/>
    <w:rsid w:val="000D2EF5"/>
    <w:rsid w:val="000D59E2"/>
    <w:rsid w:val="000E21B1"/>
    <w:rsid w:val="000F042A"/>
    <w:rsid w:val="000F18A6"/>
    <w:rsid w:val="000F2F84"/>
    <w:rsid w:val="000F3373"/>
    <w:rsid w:val="000F4238"/>
    <w:rsid w:val="001020D4"/>
    <w:rsid w:val="0010221D"/>
    <w:rsid w:val="00104C79"/>
    <w:rsid w:val="001050B2"/>
    <w:rsid w:val="00106C4C"/>
    <w:rsid w:val="0011068A"/>
    <w:rsid w:val="0012440F"/>
    <w:rsid w:val="00124D83"/>
    <w:rsid w:val="001264B1"/>
    <w:rsid w:val="00126BFA"/>
    <w:rsid w:val="0013427F"/>
    <w:rsid w:val="001449D4"/>
    <w:rsid w:val="0014772A"/>
    <w:rsid w:val="001535B4"/>
    <w:rsid w:val="00156094"/>
    <w:rsid w:val="0016202F"/>
    <w:rsid w:val="001640DD"/>
    <w:rsid w:val="00164D3C"/>
    <w:rsid w:val="00166931"/>
    <w:rsid w:val="001676D5"/>
    <w:rsid w:val="00170128"/>
    <w:rsid w:val="0017165F"/>
    <w:rsid w:val="00171E04"/>
    <w:rsid w:val="001738B5"/>
    <w:rsid w:val="00174A56"/>
    <w:rsid w:val="00176095"/>
    <w:rsid w:val="0017715B"/>
    <w:rsid w:val="00180257"/>
    <w:rsid w:val="00181BAA"/>
    <w:rsid w:val="00182C32"/>
    <w:rsid w:val="00185988"/>
    <w:rsid w:val="001930C5"/>
    <w:rsid w:val="001930C7"/>
    <w:rsid w:val="00194662"/>
    <w:rsid w:val="001A433C"/>
    <w:rsid w:val="001A5D44"/>
    <w:rsid w:val="001B0A5B"/>
    <w:rsid w:val="001B2274"/>
    <w:rsid w:val="001B28AC"/>
    <w:rsid w:val="001B2E85"/>
    <w:rsid w:val="001B306D"/>
    <w:rsid w:val="001B4BB8"/>
    <w:rsid w:val="001B5205"/>
    <w:rsid w:val="001B66F5"/>
    <w:rsid w:val="001C0041"/>
    <w:rsid w:val="001C2C1C"/>
    <w:rsid w:val="001C4C1E"/>
    <w:rsid w:val="001C4EAA"/>
    <w:rsid w:val="001C6734"/>
    <w:rsid w:val="001D2C5D"/>
    <w:rsid w:val="001D6C40"/>
    <w:rsid w:val="001E045A"/>
    <w:rsid w:val="001E1223"/>
    <w:rsid w:val="001E6C9F"/>
    <w:rsid w:val="001E7908"/>
    <w:rsid w:val="001F1CFC"/>
    <w:rsid w:val="001F22BB"/>
    <w:rsid w:val="001F3C12"/>
    <w:rsid w:val="001F47DC"/>
    <w:rsid w:val="00200A4D"/>
    <w:rsid w:val="00202430"/>
    <w:rsid w:val="002062F1"/>
    <w:rsid w:val="0020696B"/>
    <w:rsid w:val="00210410"/>
    <w:rsid w:val="00210B83"/>
    <w:rsid w:val="002134F1"/>
    <w:rsid w:val="00216D28"/>
    <w:rsid w:val="00220F47"/>
    <w:rsid w:val="00230DC5"/>
    <w:rsid w:val="00232368"/>
    <w:rsid w:val="00232F26"/>
    <w:rsid w:val="002331DA"/>
    <w:rsid w:val="002401F1"/>
    <w:rsid w:val="00243466"/>
    <w:rsid w:val="0024377D"/>
    <w:rsid w:val="00250AD5"/>
    <w:rsid w:val="00255CAD"/>
    <w:rsid w:val="00255D83"/>
    <w:rsid w:val="00257AF4"/>
    <w:rsid w:val="00257FD0"/>
    <w:rsid w:val="00264AEE"/>
    <w:rsid w:val="0027008A"/>
    <w:rsid w:val="00271B91"/>
    <w:rsid w:val="002833F3"/>
    <w:rsid w:val="00284023"/>
    <w:rsid w:val="00285679"/>
    <w:rsid w:val="00286C84"/>
    <w:rsid w:val="00295F4A"/>
    <w:rsid w:val="002A1081"/>
    <w:rsid w:val="002A2AE1"/>
    <w:rsid w:val="002A331A"/>
    <w:rsid w:val="002A3CF5"/>
    <w:rsid w:val="002A3F68"/>
    <w:rsid w:val="002A7D2A"/>
    <w:rsid w:val="002B62BE"/>
    <w:rsid w:val="002B69A2"/>
    <w:rsid w:val="002C2618"/>
    <w:rsid w:val="002C5B3A"/>
    <w:rsid w:val="002C757E"/>
    <w:rsid w:val="002D61A6"/>
    <w:rsid w:val="002E195D"/>
    <w:rsid w:val="002E2C65"/>
    <w:rsid w:val="002E51A5"/>
    <w:rsid w:val="002E6750"/>
    <w:rsid w:val="002F0D99"/>
    <w:rsid w:val="002F1E2A"/>
    <w:rsid w:val="002F453B"/>
    <w:rsid w:val="002F61CF"/>
    <w:rsid w:val="00305573"/>
    <w:rsid w:val="00307F03"/>
    <w:rsid w:val="003110F3"/>
    <w:rsid w:val="00312DA0"/>
    <w:rsid w:val="003160D6"/>
    <w:rsid w:val="003165FE"/>
    <w:rsid w:val="00320179"/>
    <w:rsid w:val="00320898"/>
    <w:rsid w:val="00323533"/>
    <w:rsid w:val="00324945"/>
    <w:rsid w:val="00325581"/>
    <w:rsid w:val="00326615"/>
    <w:rsid w:val="00326B4A"/>
    <w:rsid w:val="003305A4"/>
    <w:rsid w:val="00333AA8"/>
    <w:rsid w:val="00340940"/>
    <w:rsid w:val="00341949"/>
    <w:rsid w:val="00342A5A"/>
    <w:rsid w:val="00345136"/>
    <w:rsid w:val="00353DC5"/>
    <w:rsid w:val="00354D68"/>
    <w:rsid w:val="0035684A"/>
    <w:rsid w:val="00356B01"/>
    <w:rsid w:val="003573A3"/>
    <w:rsid w:val="00363B8D"/>
    <w:rsid w:val="00364395"/>
    <w:rsid w:val="00364571"/>
    <w:rsid w:val="003717E9"/>
    <w:rsid w:val="00372CBA"/>
    <w:rsid w:val="00381019"/>
    <w:rsid w:val="003854FB"/>
    <w:rsid w:val="003935A0"/>
    <w:rsid w:val="00393A5E"/>
    <w:rsid w:val="00397F96"/>
    <w:rsid w:val="003A1C86"/>
    <w:rsid w:val="003A2B44"/>
    <w:rsid w:val="003A2BCA"/>
    <w:rsid w:val="003A56A3"/>
    <w:rsid w:val="003B2451"/>
    <w:rsid w:val="003B2729"/>
    <w:rsid w:val="003B4F75"/>
    <w:rsid w:val="003B5F1E"/>
    <w:rsid w:val="003C0140"/>
    <w:rsid w:val="003C03C5"/>
    <w:rsid w:val="003C2274"/>
    <w:rsid w:val="003C7573"/>
    <w:rsid w:val="003D5D8C"/>
    <w:rsid w:val="003D62B6"/>
    <w:rsid w:val="003E65FB"/>
    <w:rsid w:val="003E7A7D"/>
    <w:rsid w:val="003F416D"/>
    <w:rsid w:val="003F65E6"/>
    <w:rsid w:val="003F6C88"/>
    <w:rsid w:val="004020C2"/>
    <w:rsid w:val="004038AE"/>
    <w:rsid w:val="00407CFA"/>
    <w:rsid w:val="004111F9"/>
    <w:rsid w:val="004114CE"/>
    <w:rsid w:val="00411785"/>
    <w:rsid w:val="00412789"/>
    <w:rsid w:val="0041442C"/>
    <w:rsid w:val="0042012F"/>
    <w:rsid w:val="00421710"/>
    <w:rsid w:val="00432791"/>
    <w:rsid w:val="004336ED"/>
    <w:rsid w:val="00441B79"/>
    <w:rsid w:val="00443D64"/>
    <w:rsid w:val="00445319"/>
    <w:rsid w:val="00447FD4"/>
    <w:rsid w:val="0045192D"/>
    <w:rsid w:val="00457E85"/>
    <w:rsid w:val="00467190"/>
    <w:rsid w:val="00470941"/>
    <w:rsid w:val="004711C5"/>
    <w:rsid w:val="00474BC3"/>
    <w:rsid w:val="00476FEA"/>
    <w:rsid w:val="00480928"/>
    <w:rsid w:val="0048197D"/>
    <w:rsid w:val="004832C0"/>
    <w:rsid w:val="00483FD6"/>
    <w:rsid w:val="0048442F"/>
    <w:rsid w:val="004877BE"/>
    <w:rsid w:val="00494473"/>
    <w:rsid w:val="00494D03"/>
    <w:rsid w:val="004A0217"/>
    <w:rsid w:val="004A595B"/>
    <w:rsid w:val="004A61EE"/>
    <w:rsid w:val="004A6E23"/>
    <w:rsid w:val="004B4FB8"/>
    <w:rsid w:val="004B68D2"/>
    <w:rsid w:val="004C0166"/>
    <w:rsid w:val="004C3284"/>
    <w:rsid w:val="004C4984"/>
    <w:rsid w:val="004C5FC9"/>
    <w:rsid w:val="004C6D0A"/>
    <w:rsid w:val="004D2FF9"/>
    <w:rsid w:val="004D31B0"/>
    <w:rsid w:val="004D408E"/>
    <w:rsid w:val="004E2C12"/>
    <w:rsid w:val="004E3855"/>
    <w:rsid w:val="004E5C43"/>
    <w:rsid w:val="004E6816"/>
    <w:rsid w:val="004F2231"/>
    <w:rsid w:val="004F7C40"/>
    <w:rsid w:val="0050014F"/>
    <w:rsid w:val="005012E6"/>
    <w:rsid w:val="00501AB7"/>
    <w:rsid w:val="005031CF"/>
    <w:rsid w:val="00506C33"/>
    <w:rsid w:val="00506C98"/>
    <w:rsid w:val="005074D6"/>
    <w:rsid w:val="00512196"/>
    <w:rsid w:val="00512272"/>
    <w:rsid w:val="0051247F"/>
    <w:rsid w:val="00514326"/>
    <w:rsid w:val="00521766"/>
    <w:rsid w:val="00523311"/>
    <w:rsid w:val="00525D5D"/>
    <w:rsid w:val="00531BBB"/>
    <w:rsid w:val="00540347"/>
    <w:rsid w:val="0054100A"/>
    <w:rsid w:val="0054166F"/>
    <w:rsid w:val="00544EA2"/>
    <w:rsid w:val="00546496"/>
    <w:rsid w:val="005477B6"/>
    <w:rsid w:val="00547AAE"/>
    <w:rsid w:val="00547C8D"/>
    <w:rsid w:val="005519DA"/>
    <w:rsid w:val="00551D9F"/>
    <w:rsid w:val="00554199"/>
    <w:rsid w:val="005547C6"/>
    <w:rsid w:val="00555140"/>
    <w:rsid w:val="00555553"/>
    <w:rsid w:val="0055733B"/>
    <w:rsid w:val="00565C33"/>
    <w:rsid w:val="0056707C"/>
    <w:rsid w:val="005676BE"/>
    <w:rsid w:val="00567CFA"/>
    <w:rsid w:val="00570F2D"/>
    <w:rsid w:val="005752BB"/>
    <w:rsid w:val="005758C2"/>
    <w:rsid w:val="0057620A"/>
    <w:rsid w:val="00576CEF"/>
    <w:rsid w:val="00580460"/>
    <w:rsid w:val="00585A4D"/>
    <w:rsid w:val="00586193"/>
    <w:rsid w:val="005868DB"/>
    <w:rsid w:val="00592B11"/>
    <w:rsid w:val="00593569"/>
    <w:rsid w:val="005964A3"/>
    <w:rsid w:val="005968F7"/>
    <w:rsid w:val="005969D0"/>
    <w:rsid w:val="0059702D"/>
    <w:rsid w:val="005A088B"/>
    <w:rsid w:val="005A306C"/>
    <w:rsid w:val="005A342B"/>
    <w:rsid w:val="005A661B"/>
    <w:rsid w:val="005A742E"/>
    <w:rsid w:val="005B21C1"/>
    <w:rsid w:val="005B3162"/>
    <w:rsid w:val="005B78B3"/>
    <w:rsid w:val="005C2396"/>
    <w:rsid w:val="005C24AC"/>
    <w:rsid w:val="005C40C1"/>
    <w:rsid w:val="005D1128"/>
    <w:rsid w:val="005D3E61"/>
    <w:rsid w:val="005E2B16"/>
    <w:rsid w:val="005E627F"/>
    <w:rsid w:val="005F0CB4"/>
    <w:rsid w:val="005F159A"/>
    <w:rsid w:val="005F39EC"/>
    <w:rsid w:val="005F54F7"/>
    <w:rsid w:val="005F6A29"/>
    <w:rsid w:val="005F7CAB"/>
    <w:rsid w:val="006007A0"/>
    <w:rsid w:val="00601AB8"/>
    <w:rsid w:val="006043A5"/>
    <w:rsid w:val="00611A52"/>
    <w:rsid w:val="00613D3F"/>
    <w:rsid w:val="00615213"/>
    <w:rsid w:val="006231FA"/>
    <w:rsid w:val="00623EEE"/>
    <w:rsid w:val="006249DA"/>
    <w:rsid w:val="00625D9D"/>
    <w:rsid w:val="006264D8"/>
    <w:rsid w:val="006301B4"/>
    <w:rsid w:val="00633223"/>
    <w:rsid w:val="006337FE"/>
    <w:rsid w:val="006352BD"/>
    <w:rsid w:val="00641285"/>
    <w:rsid w:val="00645F86"/>
    <w:rsid w:val="00656121"/>
    <w:rsid w:val="00656205"/>
    <w:rsid w:val="0065786C"/>
    <w:rsid w:val="00661FFB"/>
    <w:rsid w:val="006633CF"/>
    <w:rsid w:val="00666681"/>
    <w:rsid w:val="00676862"/>
    <w:rsid w:val="00676A6B"/>
    <w:rsid w:val="006801B4"/>
    <w:rsid w:val="00684114"/>
    <w:rsid w:val="00684B13"/>
    <w:rsid w:val="00686EE6"/>
    <w:rsid w:val="00687F67"/>
    <w:rsid w:val="00690134"/>
    <w:rsid w:val="0069063F"/>
    <w:rsid w:val="00692C94"/>
    <w:rsid w:val="0069411B"/>
    <w:rsid w:val="00694DEE"/>
    <w:rsid w:val="006A17C1"/>
    <w:rsid w:val="006A21CA"/>
    <w:rsid w:val="006A3276"/>
    <w:rsid w:val="006A64AB"/>
    <w:rsid w:val="006A7C3F"/>
    <w:rsid w:val="006B423B"/>
    <w:rsid w:val="006B54E4"/>
    <w:rsid w:val="006B62BF"/>
    <w:rsid w:val="006B76C9"/>
    <w:rsid w:val="006C5B10"/>
    <w:rsid w:val="006C78F8"/>
    <w:rsid w:val="006D1A50"/>
    <w:rsid w:val="006D57D3"/>
    <w:rsid w:val="006D6313"/>
    <w:rsid w:val="006D7026"/>
    <w:rsid w:val="006E321C"/>
    <w:rsid w:val="006E3FB5"/>
    <w:rsid w:val="006E6C0D"/>
    <w:rsid w:val="006F6249"/>
    <w:rsid w:val="0070070D"/>
    <w:rsid w:val="00701104"/>
    <w:rsid w:val="00701B95"/>
    <w:rsid w:val="00702B45"/>
    <w:rsid w:val="0070374D"/>
    <w:rsid w:val="00710D5C"/>
    <w:rsid w:val="00711DC1"/>
    <w:rsid w:val="0071266E"/>
    <w:rsid w:val="007231A7"/>
    <w:rsid w:val="00724AD0"/>
    <w:rsid w:val="00725949"/>
    <w:rsid w:val="007349CF"/>
    <w:rsid w:val="0073721E"/>
    <w:rsid w:val="00740C29"/>
    <w:rsid w:val="00745A0B"/>
    <w:rsid w:val="00747D9A"/>
    <w:rsid w:val="00753973"/>
    <w:rsid w:val="00754DD7"/>
    <w:rsid w:val="00760FB8"/>
    <w:rsid w:val="007667C3"/>
    <w:rsid w:val="00766F15"/>
    <w:rsid w:val="00773C7E"/>
    <w:rsid w:val="00773FB0"/>
    <w:rsid w:val="007841EE"/>
    <w:rsid w:val="0079152A"/>
    <w:rsid w:val="00791750"/>
    <w:rsid w:val="00796549"/>
    <w:rsid w:val="00796585"/>
    <w:rsid w:val="00796FB3"/>
    <w:rsid w:val="007A0184"/>
    <w:rsid w:val="007A5302"/>
    <w:rsid w:val="007A733E"/>
    <w:rsid w:val="007B411F"/>
    <w:rsid w:val="007B4EF4"/>
    <w:rsid w:val="007B5840"/>
    <w:rsid w:val="007B7F30"/>
    <w:rsid w:val="007C4EBD"/>
    <w:rsid w:val="007C58D0"/>
    <w:rsid w:val="007C7F96"/>
    <w:rsid w:val="007D0101"/>
    <w:rsid w:val="007D2BC1"/>
    <w:rsid w:val="007D5397"/>
    <w:rsid w:val="007E23B9"/>
    <w:rsid w:val="007E2EC4"/>
    <w:rsid w:val="007E68CE"/>
    <w:rsid w:val="007E70D3"/>
    <w:rsid w:val="008034A5"/>
    <w:rsid w:val="00804546"/>
    <w:rsid w:val="00806503"/>
    <w:rsid w:val="00807322"/>
    <w:rsid w:val="00810E4C"/>
    <w:rsid w:val="00811924"/>
    <w:rsid w:val="00811D04"/>
    <w:rsid w:val="00812C22"/>
    <w:rsid w:val="008135C6"/>
    <w:rsid w:val="00813740"/>
    <w:rsid w:val="008137FD"/>
    <w:rsid w:val="00813F90"/>
    <w:rsid w:val="00820609"/>
    <w:rsid w:val="008247F9"/>
    <w:rsid w:val="00830CFD"/>
    <w:rsid w:val="008422EA"/>
    <w:rsid w:val="0084389D"/>
    <w:rsid w:val="00843A91"/>
    <w:rsid w:val="00845241"/>
    <w:rsid w:val="00846249"/>
    <w:rsid w:val="008517CF"/>
    <w:rsid w:val="00851F53"/>
    <w:rsid w:val="00854EF0"/>
    <w:rsid w:val="008555E3"/>
    <w:rsid w:val="008631B5"/>
    <w:rsid w:val="00863F8B"/>
    <w:rsid w:val="0086439C"/>
    <w:rsid w:val="00865013"/>
    <w:rsid w:val="00871CD4"/>
    <w:rsid w:val="00874DEC"/>
    <w:rsid w:val="00883979"/>
    <w:rsid w:val="008840E3"/>
    <w:rsid w:val="008900C0"/>
    <w:rsid w:val="008906D8"/>
    <w:rsid w:val="00892066"/>
    <w:rsid w:val="00892553"/>
    <w:rsid w:val="00894F31"/>
    <w:rsid w:val="00897503"/>
    <w:rsid w:val="008A1519"/>
    <w:rsid w:val="008A4FCF"/>
    <w:rsid w:val="008A5A76"/>
    <w:rsid w:val="008B0A62"/>
    <w:rsid w:val="008B41F2"/>
    <w:rsid w:val="008B4FD2"/>
    <w:rsid w:val="008B50D0"/>
    <w:rsid w:val="008B5FAF"/>
    <w:rsid w:val="008C06E9"/>
    <w:rsid w:val="008C0B92"/>
    <w:rsid w:val="008C1EC8"/>
    <w:rsid w:val="008C5CD4"/>
    <w:rsid w:val="008C7917"/>
    <w:rsid w:val="008D7CF2"/>
    <w:rsid w:val="008E48D5"/>
    <w:rsid w:val="008F348D"/>
    <w:rsid w:val="008F527C"/>
    <w:rsid w:val="009148D4"/>
    <w:rsid w:val="009158B7"/>
    <w:rsid w:val="00920575"/>
    <w:rsid w:val="00920A54"/>
    <w:rsid w:val="0092340B"/>
    <w:rsid w:val="00923F20"/>
    <w:rsid w:val="00924EED"/>
    <w:rsid w:val="00925197"/>
    <w:rsid w:val="00926ECB"/>
    <w:rsid w:val="009270F3"/>
    <w:rsid w:val="009273D5"/>
    <w:rsid w:val="00927C9E"/>
    <w:rsid w:val="00934669"/>
    <w:rsid w:val="009362AF"/>
    <w:rsid w:val="00937165"/>
    <w:rsid w:val="0093A26C"/>
    <w:rsid w:val="00940E2F"/>
    <w:rsid w:val="009464E2"/>
    <w:rsid w:val="0095332B"/>
    <w:rsid w:val="0095623E"/>
    <w:rsid w:val="00956880"/>
    <w:rsid w:val="00962EC0"/>
    <w:rsid w:val="00966C02"/>
    <w:rsid w:val="0097081D"/>
    <w:rsid w:val="009722A2"/>
    <w:rsid w:val="00975050"/>
    <w:rsid w:val="00980E61"/>
    <w:rsid w:val="009810C8"/>
    <w:rsid w:val="009815C6"/>
    <w:rsid w:val="00996DDA"/>
    <w:rsid w:val="0099722F"/>
    <w:rsid w:val="009A32FE"/>
    <w:rsid w:val="009A3ADA"/>
    <w:rsid w:val="009A69F4"/>
    <w:rsid w:val="009B1250"/>
    <w:rsid w:val="009B1682"/>
    <w:rsid w:val="009B5703"/>
    <w:rsid w:val="009B6F4F"/>
    <w:rsid w:val="009B76A9"/>
    <w:rsid w:val="009B7DBB"/>
    <w:rsid w:val="009C0552"/>
    <w:rsid w:val="009C1DD5"/>
    <w:rsid w:val="009C206C"/>
    <w:rsid w:val="009C52C2"/>
    <w:rsid w:val="009C5573"/>
    <w:rsid w:val="009C5B68"/>
    <w:rsid w:val="009D072D"/>
    <w:rsid w:val="009D4197"/>
    <w:rsid w:val="009D67D2"/>
    <w:rsid w:val="009D68E1"/>
    <w:rsid w:val="009E00BB"/>
    <w:rsid w:val="009E2609"/>
    <w:rsid w:val="009E38F9"/>
    <w:rsid w:val="009F0161"/>
    <w:rsid w:val="009F2505"/>
    <w:rsid w:val="009F54D3"/>
    <w:rsid w:val="00A032C5"/>
    <w:rsid w:val="00A04BA2"/>
    <w:rsid w:val="00A04F67"/>
    <w:rsid w:val="00A128AA"/>
    <w:rsid w:val="00A1417C"/>
    <w:rsid w:val="00A20325"/>
    <w:rsid w:val="00A204A8"/>
    <w:rsid w:val="00A20680"/>
    <w:rsid w:val="00A2315B"/>
    <w:rsid w:val="00A24A29"/>
    <w:rsid w:val="00A24ED1"/>
    <w:rsid w:val="00A27648"/>
    <w:rsid w:val="00A30E02"/>
    <w:rsid w:val="00A35395"/>
    <w:rsid w:val="00A404D4"/>
    <w:rsid w:val="00A4091D"/>
    <w:rsid w:val="00A4584B"/>
    <w:rsid w:val="00A45F5F"/>
    <w:rsid w:val="00A6531A"/>
    <w:rsid w:val="00A66795"/>
    <w:rsid w:val="00A72178"/>
    <w:rsid w:val="00A74ADD"/>
    <w:rsid w:val="00A775E4"/>
    <w:rsid w:val="00A8102F"/>
    <w:rsid w:val="00A814A8"/>
    <w:rsid w:val="00A815AE"/>
    <w:rsid w:val="00A82B29"/>
    <w:rsid w:val="00A82CB4"/>
    <w:rsid w:val="00A843A5"/>
    <w:rsid w:val="00A8582E"/>
    <w:rsid w:val="00A90A96"/>
    <w:rsid w:val="00A92F87"/>
    <w:rsid w:val="00A93327"/>
    <w:rsid w:val="00A950FC"/>
    <w:rsid w:val="00A96619"/>
    <w:rsid w:val="00AA2E2B"/>
    <w:rsid w:val="00AA385B"/>
    <w:rsid w:val="00AA4E7D"/>
    <w:rsid w:val="00AA518A"/>
    <w:rsid w:val="00AA52D9"/>
    <w:rsid w:val="00AA7F92"/>
    <w:rsid w:val="00AB004D"/>
    <w:rsid w:val="00AB073B"/>
    <w:rsid w:val="00AB5B33"/>
    <w:rsid w:val="00AB7348"/>
    <w:rsid w:val="00AC253D"/>
    <w:rsid w:val="00AC6AF5"/>
    <w:rsid w:val="00AC7166"/>
    <w:rsid w:val="00AD1561"/>
    <w:rsid w:val="00AD2984"/>
    <w:rsid w:val="00AD7F42"/>
    <w:rsid w:val="00AE386D"/>
    <w:rsid w:val="00AE40A8"/>
    <w:rsid w:val="00AE76B8"/>
    <w:rsid w:val="00AF11E8"/>
    <w:rsid w:val="00AF24EE"/>
    <w:rsid w:val="00AF4433"/>
    <w:rsid w:val="00AF4C09"/>
    <w:rsid w:val="00AF61EE"/>
    <w:rsid w:val="00B028C3"/>
    <w:rsid w:val="00B03FF6"/>
    <w:rsid w:val="00B0509B"/>
    <w:rsid w:val="00B05436"/>
    <w:rsid w:val="00B07050"/>
    <w:rsid w:val="00B1260E"/>
    <w:rsid w:val="00B13E20"/>
    <w:rsid w:val="00B14192"/>
    <w:rsid w:val="00B14E94"/>
    <w:rsid w:val="00B15486"/>
    <w:rsid w:val="00B156FF"/>
    <w:rsid w:val="00B1588C"/>
    <w:rsid w:val="00B1665B"/>
    <w:rsid w:val="00B21CF5"/>
    <w:rsid w:val="00B23B8E"/>
    <w:rsid w:val="00B23CB6"/>
    <w:rsid w:val="00B318D6"/>
    <w:rsid w:val="00B37328"/>
    <w:rsid w:val="00B42AE1"/>
    <w:rsid w:val="00B4383B"/>
    <w:rsid w:val="00B46018"/>
    <w:rsid w:val="00B47AF4"/>
    <w:rsid w:val="00B51FE5"/>
    <w:rsid w:val="00B600BB"/>
    <w:rsid w:val="00B64FC9"/>
    <w:rsid w:val="00B70A36"/>
    <w:rsid w:val="00B72DBB"/>
    <w:rsid w:val="00B73011"/>
    <w:rsid w:val="00B7382B"/>
    <w:rsid w:val="00B7526D"/>
    <w:rsid w:val="00B757FB"/>
    <w:rsid w:val="00B76FFB"/>
    <w:rsid w:val="00B825C5"/>
    <w:rsid w:val="00B829F0"/>
    <w:rsid w:val="00B82E73"/>
    <w:rsid w:val="00B874F2"/>
    <w:rsid w:val="00B8753D"/>
    <w:rsid w:val="00B87D79"/>
    <w:rsid w:val="00B90BC3"/>
    <w:rsid w:val="00B93323"/>
    <w:rsid w:val="00B9514A"/>
    <w:rsid w:val="00B97FB1"/>
    <w:rsid w:val="00BA3FEB"/>
    <w:rsid w:val="00BB1C20"/>
    <w:rsid w:val="00BB20B3"/>
    <w:rsid w:val="00BB2985"/>
    <w:rsid w:val="00BB2B8F"/>
    <w:rsid w:val="00BB51CB"/>
    <w:rsid w:val="00BB5E60"/>
    <w:rsid w:val="00BC09A0"/>
    <w:rsid w:val="00BC1B84"/>
    <w:rsid w:val="00BC2412"/>
    <w:rsid w:val="00BC2CEF"/>
    <w:rsid w:val="00BC330D"/>
    <w:rsid w:val="00BC377D"/>
    <w:rsid w:val="00BC3AF3"/>
    <w:rsid w:val="00BC53F3"/>
    <w:rsid w:val="00BD0328"/>
    <w:rsid w:val="00BD4A44"/>
    <w:rsid w:val="00BD51A6"/>
    <w:rsid w:val="00BD54EE"/>
    <w:rsid w:val="00BD621D"/>
    <w:rsid w:val="00BE01A2"/>
    <w:rsid w:val="00BE20B6"/>
    <w:rsid w:val="00BE3675"/>
    <w:rsid w:val="00BE4199"/>
    <w:rsid w:val="00BE4395"/>
    <w:rsid w:val="00BE5592"/>
    <w:rsid w:val="00BE66B7"/>
    <w:rsid w:val="00BF3271"/>
    <w:rsid w:val="00BF3740"/>
    <w:rsid w:val="00BF7844"/>
    <w:rsid w:val="00C03144"/>
    <w:rsid w:val="00C0340F"/>
    <w:rsid w:val="00C0456A"/>
    <w:rsid w:val="00C06D55"/>
    <w:rsid w:val="00C10164"/>
    <w:rsid w:val="00C16165"/>
    <w:rsid w:val="00C203F2"/>
    <w:rsid w:val="00C20C7E"/>
    <w:rsid w:val="00C25EC5"/>
    <w:rsid w:val="00C31897"/>
    <w:rsid w:val="00C34FCD"/>
    <w:rsid w:val="00C355A3"/>
    <w:rsid w:val="00C37690"/>
    <w:rsid w:val="00C408D9"/>
    <w:rsid w:val="00C42569"/>
    <w:rsid w:val="00C44B6B"/>
    <w:rsid w:val="00C461DF"/>
    <w:rsid w:val="00C4796B"/>
    <w:rsid w:val="00C53AC2"/>
    <w:rsid w:val="00C53E9E"/>
    <w:rsid w:val="00C61548"/>
    <w:rsid w:val="00C64CCD"/>
    <w:rsid w:val="00C70FCD"/>
    <w:rsid w:val="00C71D6C"/>
    <w:rsid w:val="00C71E7D"/>
    <w:rsid w:val="00C76E53"/>
    <w:rsid w:val="00C77F6A"/>
    <w:rsid w:val="00C81B7C"/>
    <w:rsid w:val="00C8311A"/>
    <w:rsid w:val="00C87F96"/>
    <w:rsid w:val="00C90681"/>
    <w:rsid w:val="00C9377B"/>
    <w:rsid w:val="00C957D9"/>
    <w:rsid w:val="00CA47AD"/>
    <w:rsid w:val="00CA5740"/>
    <w:rsid w:val="00CA5B19"/>
    <w:rsid w:val="00CA72EF"/>
    <w:rsid w:val="00CB3D05"/>
    <w:rsid w:val="00CB5028"/>
    <w:rsid w:val="00CC0574"/>
    <w:rsid w:val="00CC0BA5"/>
    <w:rsid w:val="00CC2592"/>
    <w:rsid w:val="00CC31AD"/>
    <w:rsid w:val="00CD04ED"/>
    <w:rsid w:val="00CD089C"/>
    <w:rsid w:val="00CD3BE9"/>
    <w:rsid w:val="00CD53D5"/>
    <w:rsid w:val="00CD6FE4"/>
    <w:rsid w:val="00CE17FF"/>
    <w:rsid w:val="00CE2F78"/>
    <w:rsid w:val="00CE52AE"/>
    <w:rsid w:val="00CE5483"/>
    <w:rsid w:val="00CE6EA7"/>
    <w:rsid w:val="00CF1354"/>
    <w:rsid w:val="00CF4636"/>
    <w:rsid w:val="00CF75A6"/>
    <w:rsid w:val="00D01DC9"/>
    <w:rsid w:val="00D026AB"/>
    <w:rsid w:val="00D02B8C"/>
    <w:rsid w:val="00D02D73"/>
    <w:rsid w:val="00D10B14"/>
    <w:rsid w:val="00D110B4"/>
    <w:rsid w:val="00D141E9"/>
    <w:rsid w:val="00D24201"/>
    <w:rsid w:val="00D24559"/>
    <w:rsid w:val="00D25054"/>
    <w:rsid w:val="00D26D06"/>
    <w:rsid w:val="00D26E75"/>
    <w:rsid w:val="00D35272"/>
    <w:rsid w:val="00D35305"/>
    <w:rsid w:val="00D35775"/>
    <w:rsid w:val="00D3774D"/>
    <w:rsid w:val="00D42874"/>
    <w:rsid w:val="00D43760"/>
    <w:rsid w:val="00D43E73"/>
    <w:rsid w:val="00D5039C"/>
    <w:rsid w:val="00D50FE5"/>
    <w:rsid w:val="00D55674"/>
    <w:rsid w:val="00D57DF4"/>
    <w:rsid w:val="00D61219"/>
    <w:rsid w:val="00D63220"/>
    <w:rsid w:val="00D67011"/>
    <w:rsid w:val="00D7203C"/>
    <w:rsid w:val="00D720F3"/>
    <w:rsid w:val="00D74070"/>
    <w:rsid w:val="00D761FD"/>
    <w:rsid w:val="00D76935"/>
    <w:rsid w:val="00D77C23"/>
    <w:rsid w:val="00D83CDD"/>
    <w:rsid w:val="00D83F9F"/>
    <w:rsid w:val="00D8621F"/>
    <w:rsid w:val="00D873A5"/>
    <w:rsid w:val="00D90436"/>
    <w:rsid w:val="00D91B83"/>
    <w:rsid w:val="00D92000"/>
    <w:rsid w:val="00D93218"/>
    <w:rsid w:val="00D93674"/>
    <w:rsid w:val="00D936E6"/>
    <w:rsid w:val="00D93A9C"/>
    <w:rsid w:val="00D9574C"/>
    <w:rsid w:val="00D95C3E"/>
    <w:rsid w:val="00DA080B"/>
    <w:rsid w:val="00DA124E"/>
    <w:rsid w:val="00DB1E64"/>
    <w:rsid w:val="00DB35E7"/>
    <w:rsid w:val="00DB7126"/>
    <w:rsid w:val="00DC053B"/>
    <w:rsid w:val="00DC1DA2"/>
    <w:rsid w:val="00DC27F0"/>
    <w:rsid w:val="00DC30DF"/>
    <w:rsid w:val="00DD121C"/>
    <w:rsid w:val="00DD2D40"/>
    <w:rsid w:val="00DD333A"/>
    <w:rsid w:val="00DD4AAB"/>
    <w:rsid w:val="00DD4EA6"/>
    <w:rsid w:val="00DE288A"/>
    <w:rsid w:val="00DE48E4"/>
    <w:rsid w:val="00DE48E5"/>
    <w:rsid w:val="00DE4E78"/>
    <w:rsid w:val="00DE6D76"/>
    <w:rsid w:val="00DE71BC"/>
    <w:rsid w:val="00DF0726"/>
    <w:rsid w:val="00DF2F74"/>
    <w:rsid w:val="00DF4A57"/>
    <w:rsid w:val="00DF5EEB"/>
    <w:rsid w:val="00E039AE"/>
    <w:rsid w:val="00E046AC"/>
    <w:rsid w:val="00E04B6C"/>
    <w:rsid w:val="00E05C5B"/>
    <w:rsid w:val="00E0668F"/>
    <w:rsid w:val="00E074D4"/>
    <w:rsid w:val="00E13994"/>
    <w:rsid w:val="00E13F4C"/>
    <w:rsid w:val="00E1496F"/>
    <w:rsid w:val="00E14DEE"/>
    <w:rsid w:val="00E161FB"/>
    <w:rsid w:val="00E20923"/>
    <w:rsid w:val="00E21DCF"/>
    <w:rsid w:val="00E252FF"/>
    <w:rsid w:val="00E25A2C"/>
    <w:rsid w:val="00E26612"/>
    <w:rsid w:val="00E30DA1"/>
    <w:rsid w:val="00E3104E"/>
    <w:rsid w:val="00E31416"/>
    <w:rsid w:val="00E31D04"/>
    <w:rsid w:val="00E32285"/>
    <w:rsid w:val="00E338DF"/>
    <w:rsid w:val="00E33E16"/>
    <w:rsid w:val="00E354C3"/>
    <w:rsid w:val="00E402CC"/>
    <w:rsid w:val="00E410EB"/>
    <w:rsid w:val="00E53EFA"/>
    <w:rsid w:val="00E57A53"/>
    <w:rsid w:val="00E61FEF"/>
    <w:rsid w:val="00E62510"/>
    <w:rsid w:val="00E63A2B"/>
    <w:rsid w:val="00E65342"/>
    <w:rsid w:val="00E65B22"/>
    <w:rsid w:val="00E6724E"/>
    <w:rsid w:val="00E67346"/>
    <w:rsid w:val="00E74510"/>
    <w:rsid w:val="00E76941"/>
    <w:rsid w:val="00E7698C"/>
    <w:rsid w:val="00E76F25"/>
    <w:rsid w:val="00E80658"/>
    <w:rsid w:val="00E821A6"/>
    <w:rsid w:val="00E9133B"/>
    <w:rsid w:val="00E937E6"/>
    <w:rsid w:val="00E95DAE"/>
    <w:rsid w:val="00E97524"/>
    <w:rsid w:val="00EA077B"/>
    <w:rsid w:val="00EA5B67"/>
    <w:rsid w:val="00EA6A24"/>
    <w:rsid w:val="00EA704E"/>
    <w:rsid w:val="00EB1874"/>
    <w:rsid w:val="00EB1CE4"/>
    <w:rsid w:val="00EB2A0D"/>
    <w:rsid w:val="00EB30FD"/>
    <w:rsid w:val="00EB40F0"/>
    <w:rsid w:val="00EB5B41"/>
    <w:rsid w:val="00EB75F8"/>
    <w:rsid w:val="00EC0854"/>
    <w:rsid w:val="00EC4B1D"/>
    <w:rsid w:val="00EC6E79"/>
    <w:rsid w:val="00EC7664"/>
    <w:rsid w:val="00ED0165"/>
    <w:rsid w:val="00ED01A5"/>
    <w:rsid w:val="00ED259F"/>
    <w:rsid w:val="00ED43EE"/>
    <w:rsid w:val="00EF12C3"/>
    <w:rsid w:val="00EF1E73"/>
    <w:rsid w:val="00EF2F05"/>
    <w:rsid w:val="00EF3685"/>
    <w:rsid w:val="00EF4830"/>
    <w:rsid w:val="00F02BAB"/>
    <w:rsid w:val="00F0756B"/>
    <w:rsid w:val="00F07CFC"/>
    <w:rsid w:val="00F12138"/>
    <w:rsid w:val="00F1652A"/>
    <w:rsid w:val="00F176E0"/>
    <w:rsid w:val="00F17768"/>
    <w:rsid w:val="00F264D4"/>
    <w:rsid w:val="00F26F2A"/>
    <w:rsid w:val="00F276BF"/>
    <w:rsid w:val="00F3051A"/>
    <w:rsid w:val="00F31D01"/>
    <w:rsid w:val="00F351B0"/>
    <w:rsid w:val="00F35C34"/>
    <w:rsid w:val="00F369A1"/>
    <w:rsid w:val="00F40991"/>
    <w:rsid w:val="00F41734"/>
    <w:rsid w:val="00F41E32"/>
    <w:rsid w:val="00F5001E"/>
    <w:rsid w:val="00F51DFA"/>
    <w:rsid w:val="00F539C0"/>
    <w:rsid w:val="00F55FFC"/>
    <w:rsid w:val="00F57619"/>
    <w:rsid w:val="00F57D5A"/>
    <w:rsid w:val="00F61533"/>
    <w:rsid w:val="00F63DF9"/>
    <w:rsid w:val="00F644F3"/>
    <w:rsid w:val="00F649B6"/>
    <w:rsid w:val="00F64E31"/>
    <w:rsid w:val="00F64E67"/>
    <w:rsid w:val="00F664DC"/>
    <w:rsid w:val="00F66BC4"/>
    <w:rsid w:val="00F67BF2"/>
    <w:rsid w:val="00F75D53"/>
    <w:rsid w:val="00F77AB8"/>
    <w:rsid w:val="00F81A08"/>
    <w:rsid w:val="00F81F3C"/>
    <w:rsid w:val="00F8495A"/>
    <w:rsid w:val="00F87EF9"/>
    <w:rsid w:val="00F909EB"/>
    <w:rsid w:val="00F910B5"/>
    <w:rsid w:val="00FA0DEA"/>
    <w:rsid w:val="00FB0C55"/>
    <w:rsid w:val="00FC1125"/>
    <w:rsid w:val="00FC21D2"/>
    <w:rsid w:val="00FC379E"/>
    <w:rsid w:val="00FC5528"/>
    <w:rsid w:val="00FD242A"/>
    <w:rsid w:val="00FE04B6"/>
    <w:rsid w:val="00FE3D23"/>
    <w:rsid w:val="00FE50AB"/>
    <w:rsid w:val="00FE6F46"/>
    <w:rsid w:val="00FF380A"/>
    <w:rsid w:val="014DD302"/>
    <w:rsid w:val="01D744D9"/>
    <w:rsid w:val="025DB3D3"/>
    <w:rsid w:val="0277DB62"/>
    <w:rsid w:val="05728536"/>
    <w:rsid w:val="05DF6FC0"/>
    <w:rsid w:val="06E37CA9"/>
    <w:rsid w:val="06F8EA19"/>
    <w:rsid w:val="072760E3"/>
    <w:rsid w:val="0753198B"/>
    <w:rsid w:val="08185F8B"/>
    <w:rsid w:val="088FA00F"/>
    <w:rsid w:val="08B53D02"/>
    <w:rsid w:val="09DA0344"/>
    <w:rsid w:val="0CDCFA7B"/>
    <w:rsid w:val="0D2449E2"/>
    <w:rsid w:val="0DF18AEB"/>
    <w:rsid w:val="0F77E540"/>
    <w:rsid w:val="10CCB267"/>
    <w:rsid w:val="1137CE67"/>
    <w:rsid w:val="12AD64F2"/>
    <w:rsid w:val="12FCAED2"/>
    <w:rsid w:val="15A9E5EE"/>
    <w:rsid w:val="15E06E6F"/>
    <w:rsid w:val="1678A275"/>
    <w:rsid w:val="17DC7519"/>
    <w:rsid w:val="189FC165"/>
    <w:rsid w:val="18EDF25B"/>
    <w:rsid w:val="1977D86B"/>
    <w:rsid w:val="1ADC570B"/>
    <w:rsid w:val="1B44CEFA"/>
    <w:rsid w:val="1D8D3490"/>
    <w:rsid w:val="207E4E3C"/>
    <w:rsid w:val="239EBC36"/>
    <w:rsid w:val="24090AA8"/>
    <w:rsid w:val="242EDD8D"/>
    <w:rsid w:val="25090A11"/>
    <w:rsid w:val="293BD5DC"/>
    <w:rsid w:val="2A3F191A"/>
    <w:rsid w:val="2A481FB5"/>
    <w:rsid w:val="2AA0800A"/>
    <w:rsid w:val="2B044A7D"/>
    <w:rsid w:val="2D39974D"/>
    <w:rsid w:val="2E8CDBAB"/>
    <w:rsid w:val="30048293"/>
    <w:rsid w:val="30E02CC1"/>
    <w:rsid w:val="3647B278"/>
    <w:rsid w:val="3743442C"/>
    <w:rsid w:val="39347B1D"/>
    <w:rsid w:val="3DE102F7"/>
    <w:rsid w:val="3E09ED12"/>
    <w:rsid w:val="3F9B7171"/>
    <w:rsid w:val="4041D046"/>
    <w:rsid w:val="4084E009"/>
    <w:rsid w:val="40C9781B"/>
    <w:rsid w:val="40CBC4FD"/>
    <w:rsid w:val="42811CF7"/>
    <w:rsid w:val="43A571AC"/>
    <w:rsid w:val="44D40681"/>
    <w:rsid w:val="45684F4D"/>
    <w:rsid w:val="459A6436"/>
    <w:rsid w:val="45A70F51"/>
    <w:rsid w:val="45D43762"/>
    <w:rsid w:val="469410CA"/>
    <w:rsid w:val="46BDAA68"/>
    <w:rsid w:val="46CEF164"/>
    <w:rsid w:val="47642546"/>
    <w:rsid w:val="47929DC8"/>
    <w:rsid w:val="47B575E9"/>
    <w:rsid w:val="48BC14FF"/>
    <w:rsid w:val="49390228"/>
    <w:rsid w:val="4A15513D"/>
    <w:rsid w:val="4A374F54"/>
    <w:rsid w:val="4A71360D"/>
    <w:rsid w:val="4B000834"/>
    <w:rsid w:val="4C7459B7"/>
    <w:rsid w:val="4CF7E3EF"/>
    <w:rsid w:val="4FBB9A72"/>
    <w:rsid w:val="5009A322"/>
    <w:rsid w:val="501AB5BC"/>
    <w:rsid w:val="50DAD7A0"/>
    <w:rsid w:val="51D48409"/>
    <w:rsid w:val="53688D97"/>
    <w:rsid w:val="57A00D75"/>
    <w:rsid w:val="57A794C3"/>
    <w:rsid w:val="58124694"/>
    <w:rsid w:val="58F18B22"/>
    <w:rsid w:val="59016B1A"/>
    <w:rsid w:val="59AFBFD6"/>
    <w:rsid w:val="5A3C49A7"/>
    <w:rsid w:val="5ACD972F"/>
    <w:rsid w:val="5C3AF770"/>
    <w:rsid w:val="5D0D9B8D"/>
    <w:rsid w:val="5DE6D40D"/>
    <w:rsid w:val="5E47D5DA"/>
    <w:rsid w:val="5E777995"/>
    <w:rsid w:val="5F60EA87"/>
    <w:rsid w:val="5F6BE871"/>
    <w:rsid w:val="60AF262B"/>
    <w:rsid w:val="61122B67"/>
    <w:rsid w:val="62675123"/>
    <w:rsid w:val="633E8C11"/>
    <w:rsid w:val="63472168"/>
    <w:rsid w:val="64485DBF"/>
    <w:rsid w:val="65C87D87"/>
    <w:rsid w:val="663509F9"/>
    <w:rsid w:val="67ACEDA4"/>
    <w:rsid w:val="685E1537"/>
    <w:rsid w:val="6877FB20"/>
    <w:rsid w:val="6BB9959F"/>
    <w:rsid w:val="6CAE67AD"/>
    <w:rsid w:val="6CC931E7"/>
    <w:rsid w:val="6E981B05"/>
    <w:rsid w:val="6F62A15B"/>
    <w:rsid w:val="6FE167D5"/>
    <w:rsid w:val="7057FBF4"/>
    <w:rsid w:val="70727CEE"/>
    <w:rsid w:val="71854F18"/>
    <w:rsid w:val="719DE4C3"/>
    <w:rsid w:val="741C8384"/>
    <w:rsid w:val="752F813A"/>
    <w:rsid w:val="76F87693"/>
    <w:rsid w:val="772F56DF"/>
    <w:rsid w:val="789168F8"/>
    <w:rsid w:val="793AF38C"/>
    <w:rsid w:val="7BE179EA"/>
    <w:rsid w:val="7C006FF5"/>
    <w:rsid w:val="7D090A19"/>
    <w:rsid w:val="7E37E87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E3012"/>
  <w15:docId w15:val="{35C6C504-67E8-4611-B799-039634CD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8274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408"/>
    <w:rPr>
      <w:b/>
      <w:bCs/>
    </w:rPr>
  </w:style>
  <w:style w:type="character" w:styleId="Hyperlink">
    <w:name w:val="Hyperlink"/>
    <w:basedOn w:val="DefaultParagraphFont"/>
    <w:uiPriority w:val="99"/>
    <w:unhideWhenUsed/>
    <w:rsid w:val="00827408"/>
    <w:rPr>
      <w:color w:val="0000FF"/>
      <w:u w:val="single"/>
    </w:rPr>
  </w:style>
  <w:style w:type="character" w:styleId="Emphasis">
    <w:name w:val="Emphasis"/>
    <w:basedOn w:val="DefaultParagraphFont"/>
    <w:uiPriority w:val="20"/>
    <w:qFormat/>
    <w:rsid w:val="00827408"/>
    <w:rPr>
      <w:i/>
      <w:iCs/>
    </w:rPr>
  </w:style>
  <w:style w:type="paragraph" w:styleId="Header">
    <w:name w:val="header"/>
    <w:basedOn w:val="Normal"/>
    <w:link w:val="HeaderChar"/>
    <w:uiPriority w:val="99"/>
    <w:unhideWhenUsed/>
    <w:rsid w:val="00FE3D23"/>
    <w:pPr>
      <w:tabs>
        <w:tab w:val="center" w:pos="4680"/>
        <w:tab w:val="right" w:pos="9360"/>
      </w:tabs>
      <w:spacing w:line="240" w:lineRule="auto"/>
    </w:pPr>
  </w:style>
  <w:style w:type="character" w:customStyle="1" w:styleId="HeaderChar">
    <w:name w:val="Header Char"/>
    <w:basedOn w:val="DefaultParagraphFont"/>
    <w:link w:val="Header"/>
    <w:uiPriority w:val="99"/>
    <w:rsid w:val="00FE3D23"/>
  </w:style>
  <w:style w:type="paragraph" w:styleId="Footer">
    <w:name w:val="footer"/>
    <w:basedOn w:val="Normal"/>
    <w:link w:val="FooterChar"/>
    <w:uiPriority w:val="99"/>
    <w:unhideWhenUsed/>
    <w:rsid w:val="00FE3D23"/>
    <w:pPr>
      <w:tabs>
        <w:tab w:val="center" w:pos="4680"/>
        <w:tab w:val="right" w:pos="9360"/>
      </w:tabs>
      <w:spacing w:line="240" w:lineRule="auto"/>
    </w:pPr>
  </w:style>
  <w:style w:type="character" w:customStyle="1" w:styleId="FooterChar">
    <w:name w:val="Footer Char"/>
    <w:basedOn w:val="DefaultParagraphFont"/>
    <w:link w:val="Footer"/>
    <w:uiPriority w:val="99"/>
    <w:rsid w:val="00FE3D23"/>
  </w:style>
  <w:style w:type="paragraph" w:styleId="Revision">
    <w:name w:val="Revision"/>
    <w:hidden/>
    <w:uiPriority w:val="99"/>
    <w:semiHidden/>
    <w:rsid w:val="003F65E6"/>
    <w:pPr>
      <w:spacing w:line="240" w:lineRule="auto"/>
    </w:pPr>
  </w:style>
  <w:style w:type="character" w:styleId="UnresolvedMention">
    <w:name w:val="Unresolved Mention"/>
    <w:basedOn w:val="DefaultParagraphFont"/>
    <w:uiPriority w:val="99"/>
    <w:semiHidden/>
    <w:unhideWhenUsed/>
    <w:rsid w:val="003F65E6"/>
    <w:rPr>
      <w:color w:val="605E5C"/>
      <w:shd w:val="clear" w:color="auto" w:fill="E1DFDD"/>
    </w:rPr>
  </w:style>
  <w:style w:type="paragraph" w:styleId="BodyText">
    <w:name w:val="Body Text"/>
    <w:basedOn w:val="Normal"/>
    <w:link w:val="BodyTextChar"/>
    <w:uiPriority w:val="1"/>
    <w:qFormat/>
    <w:rsid w:val="003F65E6"/>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3F65E6"/>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3F65E6"/>
    <w:rPr>
      <w:color w:val="800080" w:themeColor="followedHyperlink"/>
      <w:u w:val="single"/>
    </w:rPr>
  </w:style>
  <w:style w:type="paragraph" w:styleId="ListParagraph">
    <w:name w:val="List Paragraph"/>
    <w:basedOn w:val="Normal"/>
    <w:uiPriority w:val="34"/>
    <w:qFormat/>
    <w:rsid w:val="001E045A"/>
    <w:pPr>
      <w:ind w:left="720"/>
      <w:contextualSpacing/>
    </w:pPr>
  </w:style>
  <w:style w:type="character" w:styleId="CommentReference">
    <w:name w:val="annotation reference"/>
    <w:basedOn w:val="DefaultParagraphFont"/>
    <w:uiPriority w:val="99"/>
    <w:semiHidden/>
    <w:unhideWhenUsed/>
    <w:rsid w:val="00601AB8"/>
    <w:rPr>
      <w:sz w:val="16"/>
      <w:szCs w:val="16"/>
    </w:rPr>
  </w:style>
  <w:style w:type="paragraph" w:styleId="CommentText">
    <w:name w:val="annotation text"/>
    <w:basedOn w:val="Normal"/>
    <w:link w:val="CommentTextChar"/>
    <w:uiPriority w:val="99"/>
    <w:unhideWhenUsed/>
    <w:rsid w:val="00601AB8"/>
    <w:pPr>
      <w:spacing w:line="240" w:lineRule="auto"/>
    </w:pPr>
    <w:rPr>
      <w:sz w:val="20"/>
      <w:szCs w:val="20"/>
    </w:rPr>
  </w:style>
  <w:style w:type="character" w:customStyle="1" w:styleId="CommentTextChar">
    <w:name w:val="Comment Text Char"/>
    <w:basedOn w:val="DefaultParagraphFont"/>
    <w:link w:val="CommentText"/>
    <w:uiPriority w:val="99"/>
    <w:rsid w:val="00601AB8"/>
    <w:rPr>
      <w:sz w:val="20"/>
      <w:szCs w:val="20"/>
    </w:rPr>
  </w:style>
  <w:style w:type="paragraph" w:styleId="CommentSubject">
    <w:name w:val="annotation subject"/>
    <w:basedOn w:val="CommentText"/>
    <w:next w:val="CommentText"/>
    <w:link w:val="CommentSubjectChar"/>
    <w:uiPriority w:val="99"/>
    <w:semiHidden/>
    <w:unhideWhenUsed/>
    <w:rsid w:val="00601AB8"/>
    <w:rPr>
      <w:b/>
      <w:bCs/>
    </w:rPr>
  </w:style>
  <w:style w:type="character" w:customStyle="1" w:styleId="CommentSubjectChar">
    <w:name w:val="Comment Subject Char"/>
    <w:basedOn w:val="CommentTextChar"/>
    <w:link w:val="CommentSubject"/>
    <w:uiPriority w:val="99"/>
    <w:semiHidden/>
    <w:rsid w:val="00601AB8"/>
    <w:rPr>
      <w:b/>
      <w:bCs/>
      <w:sz w:val="20"/>
      <w:szCs w:val="20"/>
    </w:rPr>
  </w:style>
  <w:style w:type="paragraph" w:styleId="Caption">
    <w:name w:val="caption"/>
    <w:basedOn w:val="Normal"/>
    <w:next w:val="Normal"/>
    <w:uiPriority w:val="35"/>
    <w:unhideWhenUsed/>
    <w:qFormat/>
    <w:rsid w:val="00AF4C09"/>
    <w:pPr>
      <w:spacing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A8582E"/>
    <w:pPr>
      <w:spacing w:line="240" w:lineRule="auto"/>
    </w:pPr>
    <w:rPr>
      <w:sz w:val="20"/>
      <w:szCs w:val="20"/>
    </w:rPr>
  </w:style>
  <w:style w:type="character" w:customStyle="1" w:styleId="FootnoteTextChar">
    <w:name w:val="Footnote Text Char"/>
    <w:basedOn w:val="DefaultParagraphFont"/>
    <w:link w:val="FootnoteText"/>
    <w:uiPriority w:val="99"/>
    <w:rsid w:val="00A8582E"/>
    <w:rPr>
      <w:sz w:val="20"/>
      <w:szCs w:val="20"/>
    </w:rPr>
  </w:style>
  <w:style w:type="character" w:styleId="FootnoteReference">
    <w:name w:val="footnote reference"/>
    <w:basedOn w:val="DefaultParagraphFont"/>
    <w:uiPriority w:val="99"/>
    <w:semiHidden/>
    <w:unhideWhenUsed/>
    <w:rsid w:val="00A8582E"/>
    <w:rPr>
      <w:vertAlign w:val="superscript"/>
    </w:rPr>
  </w:style>
  <w:style w:type="paragraph" w:customStyle="1" w:styleId="p1">
    <w:name w:val="p1"/>
    <w:basedOn w:val="Normal"/>
    <w:rsid w:val="00AF4433"/>
    <w:pPr>
      <w:spacing w:before="100" w:beforeAutospacing="1" w:after="100" w:afterAutospacing="1" w:line="240" w:lineRule="auto"/>
    </w:pPr>
    <w:rPr>
      <w:rFonts w:ascii="Times New Roman" w:eastAsiaTheme="minorEastAsia" w:hAnsi="Times New Roman" w:cs="Times New Roman"/>
      <w:sz w:val="24"/>
      <w:szCs w:val="24"/>
      <w:lang w:eastAsia="en-US"/>
    </w:rPr>
  </w:style>
  <w:style w:type="character" w:customStyle="1" w:styleId="s1">
    <w:name w:val="s1"/>
    <w:basedOn w:val="DefaultParagraphFont"/>
    <w:rsid w:val="00AF4433"/>
  </w:style>
  <w:style w:type="character" w:customStyle="1" w:styleId="apple-converted-space">
    <w:name w:val="apple-converted-space"/>
    <w:basedOn w:val="DefaultParagraphFont"/>
    <w:rsid w:val="00AF4433"/>
  </w:style>
  <w:style w:type="character" w:customStyle="1" w:styleId="s2">
    <w:name w:val="s2"/>
    <w:basedOn w:val="DefaultParagraphFont"/>
    <w:rsid w:val="003B2729"/>
  </w:style>
  <w:style w:type="paragraph" w:customStyle="1" w:styleId="p2">
    <w:name w:val="p2"/>
    <w:basedOn w:val="Normal"/>
    <w:rsid w:val="003B2729"/>
    <w:pPr>
      <w:spacing w:before="100" w:beforeAutospacing="1" w:after="100" w:afterAutospacing="1" w:line="240" w:lineRule="auto"/>
    </w:pPr>
    <w:rPr>
      <w:rFonts w:ascii="Times New Roman" w:eastAsiaTheme="minorEastAsia" w:hAnsi="Times New Roman" w:cs="Times New Roman"/>
      <w:sz w:val="24"/>
      <w:szCs w:val="24"/>
      <w:lang w:eastAsia="en-US"/>
    </w:rPr>
  </w:style>
  <w:style w:type="character" w:styleId="Mention">
    <w:name w:val="Mention"/>
    <w:basedOn w:val="DefaultParagraphFont"/>
    <w:uiPriority w:val="99"/>
    <w:unhideWhenUsed/>
    <w:rsid w:val="00042F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6314">
      <w:bodyDiv w:val="1"/>
      <w:marLeft w:val="0"/>
      <w:marRight w:val="0"/>
      <w:marTop w:val="0"/>
      <w:marBottom w:val="0"/>
      <w:divBdr>
        <w:top w:val="none" w:sz="0" w:space="0" w:color="auto"/>
        <w:left w:val="none" w:sz="0" w:space="0" w:color="auto"/>
        <w:bottom w:val="none" w:sz="0" w:space="0" w:color="auto"/>
        <w:right w:val="none" w:sz="0" w:space="0" w:color="auto"/>
      </w:divBdr>
    </w:div>
    <w:div w:id="2114932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corpiogold.com/projects/manhattan/technical-reports/" TargetMode="External"/><Relationship Id="rId18" Type="http://schemas.openxmlformats.org/officeDocument/2006/relationships/hyperlink" Target="https://www.kinross.com/operations/default.aspx" TargetMode="External"/><Relationship Id="rId26" Type="http://schemas.openxmlformats.org/officeDocument/2006/relationships/hyperlink" Target="https://twitter.com/NewScorpioGold"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linkedin.com/company/scorpio-gold-coporation/about/?viewAsMember=tru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profile.php?id=61556975236485"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scorpiogold.com/contact/subscribe/" TargetMode="External"/><Relationship Id="rId28" Type="http://schemas.openxmlformats.org/officeDocument/2006/relationships/hyperlink" Target="https://scorpiogold.com/contact/subscribe/" TargetMode="External"/><Relationship Id="rId10" Type="http://schemas.openxmlformats.org/officeDocument/2006/relationships/footnotes" Target="footnotes.xml"/><Relationship Id="rId19" Type="http://schemas.openxmlformats.org/officeDocument/2006/relationships/hyperlink" Target="https://scorpiogold.com/news/scorpio-gold-closes-purchase-of-kinross-manhattan-property-nye-county-nevad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zayn@scorpiogold.com" TargetMode="External"/><Relationship Id="rId27" Type="http://schemas.openxmlformats.org/officeDocument/2006/relationships/hyperlink" Target="https://www.youtube.com/channel/UCSOkmL5DnhgAD7pdXTcbbf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KiLzK9ck+EvjPSbkSWiZB/X6QA==">CgMxLjAyCGguZ2pkZ3hzOAByITFxaHRPcFJhMzA3M0Ryc0JQRnhPV1lUcXJ5UHBxLUJOSA==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CA0D8A489AB87489F9104094B22542C" ma:contentTypeVersion="12" ma:contentTypeDescription="Create a new document." ma:contentTypeScope="" ma:versionID="d5f9a6d2403fafdcdeaf530f68473e8f">
  <xsd:schema xmlns:xsd="http://www.w3.org/2001/XMLSchema" xmlns:xs="http://www.w3.org/2001/XMLSchema" xmlns:p="http://schemas.microsoft.com/office/2006/metadata/properties" xmlns:ns2="05d72c66-332c-4377-8e69-baa71e313b4e" xmlns:ns3="a95a2bb4-d13a-4b26-b510-0d58d3bcb40d" targetNamespace="http://schemas.microsoft.com/office/2006/metadata/properties" ma:root="true" ma:fieldsID="ce515cbd91d80e3176f674503ecc507b" ns2:_="" ns3:_="">
    <xsd:import namespace="05d72c66-332c-4377-8e69-baa71e313b4e"/>
    <xsd:import namespace="a95a2bb4-d13a-4b26-b510-0d58d3bcb4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72c66-332c-4377-8e69-baa71e313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dbd47ee-4cd6-4e02-a351-520b9fa58b2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a2bb4-d13a-4b26-b510-0d58d3bcb4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47830d-b715-4acd-9dcb-1f34fc5fa469}" ma:internalName="TaxCatchAll" ma:showField="CatchAllData" ma:web="a95a2bb4-d13a-4b26-b510-0d58d3bcb4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5d72c66-332c-4377-8e69-baa71e313b4e">
      <Terms xmlns="http://schemas.microsoft.com/office/infopath/2007/PartnerControls"/>
    </lcf76f155ced4ddcb4097134ff3c332f>
    <TaxCatchAll xmlns="a95a2bb4-d13a-4b26-b510-0d58d3bcb40d" xsi:nil="true"/>
  </documentManagement>
</p:properties>
</file>

<file path=customXml/itemProps1.xml><?xml version="1.0" encoding="utf-8"?>
<ds:datastoreItem xmlns:ds="http://schemas.openxmlformats.org/officeDocument/2006/customXml" ds:itemID="{5DDD6EF5-4285-49C2-B2DA-68271DD6710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2F09583-4F7A-4F1C-97E5-0C0BE4C6E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72c66-332c-4377-8e69-baa71e313b4e"/>
    <ds:schemaRef ds:uri="a95a2bb4-d13a-4b26-b510-0d58d3bcb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1CA092-EDE8-40FA-9A7F-FEDA74ADFDEE}">
  <ds:schemaRefs>
    <ds:schemaRef ds:uri="http://schemas.openxmlformats.org/officeDocument/2006/bibliography"/>
  </ds:schemaRefs>
</ds:datastoreItem>
</file>

<file path=customXml/itemProps5.xml><?xml version="1.0" encoding="utf-8"?>
<ds:datastoreItem xmlns:ds="http://schemas.openxmlformats.org/officeDocument/2006/customXml" ds:itemID="{389920D1-593D-42E1-AD92-660E2DECEB8D}">
  <ds:schemaRefs>
    <ds:schemaRef ds:uri="http://schemas.microsoft.com/office/2006/metadata/properties"/>
    <ds:schemaRef ds:uri="http://schemas.microsoft.com/office/infopath/2007/PartnerControls"/>
    <ds:schemaRef ds:uri="05d72c66-332c-4377-8e69-baa71e313b4e"/>
    <ds:schemaRef ds:uri="a95a2bb4-d13a-4b26-b510-0d58d3bcb40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3002</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Leitao</dc:creator>
  <cp:keywords/>
  <cp:lastModifiedBy>Zayn Kalyan</cp:lastModifiedBy>
  <cp:revision>4</cp:revision>
  <dcterms:created xsi:type="dcterms:W3CDTF">2026-01-22T19:07:00Z</dcterms:created>
  <dcterms:modified xsi:type="dcterms:W3CDTF">2026-01-22T19:10:00Z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0x0101001CA0D8A489AB87489F9104094B22542C</vt:lpwstr>
  </property>
  <property fmtid="{D5CDD505-2E9C-101B-9397-08002B2CF9AE}" pid="3" name="MediaServiceImageTags">
    <vt:lpwstr/>
  </property>
  <property fmtid="{D5CDD505-2E9C-101B-9397-08002B2CF9AE}" pid="4" name="GrammarlyDocumentId">
    <vt:lpwstr>e793735f-744e-47ca-9312-00f2fa010968</vt:lpwstr>
  </property>
</Properties>
</file>